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C27" w:rsidRPr="0045503F" w:rsidRDefault="00E02C27">
      <w:pPr>
        <w:ind w:left="1418" w:hanging="545"/>
        <w:rPr>
          <w:rFonts w:ascii="Arial" w:hAnsi="Arial" w:cs="Arial"/>
          <w:b/>
          <w:lang w:val="es-ES_tradnl"/>
        </w:rPr>
      </w:pPr>
      <w:bookmarkStart w:id="0" w:name="_GoBack"/>
      <w:bookmarkEnd w:id="0"/>
    </w:p>
    <w:p w:rsidR="00E02C27" w:rsidRDefault="00E02C27">
      <w:pPr>
        <w:ind w:left="1418" w:hanging="545"/>
        <w:rPr>
          <w:rFonts w:ascii="Arial" w:hAnsi="Arial" w:cs="Arial"/>
        </w:rPr>
      </w:pPr>
    </w:p>
    <w:p w:rsidR="00E02C27" w:rsidRDefault="00E02C27">
      <w:pPr>
        <w:ind w:left="1418" w:hanging="545"/>
        <w:rPr>
          <w:rFonts w:ascii="Arial" w:hAnsi="Arial" w:cs="Arial"/>
        </w:rPr>
      </w:pPr>
    </w:p>
    <w:p w:rsidR="00E02C27" w:rsidRDefault="00E02C27">
      <w:pPr>
        <w:ind w:left="1418" w:hanging="545"/>
        <w:rPr>
          <w:rFonts w:ascii="Arial" w:hAnsi="Arial" w:cs="Arial"/>
        </w:rPr>
      </w:pPr>
    </w:p>
    <w:tbl>
      <w:tblPr>
        <w:tblW w:w="6626" w:type="dxa"/>
        <w:jc w:val="center"/>
        <w:tblInd w:w="1443" w:type="dxa"/>
        <w:tblBorders>
          <w:top w:val="single" w:sz="6" w:space="0" w:color="auto"/>
          <w:left w:val="single" w:sz="6" w:space="0" w:color="auto"/>
          <w:bottom w:val="single" w:sz="24" w:space="0" w:color="auto"/>
          <w:right w:val="single" w:sz="24" w:space="0" w:color="auto"/>
        </w:tblBorders>
        <w:shd w:val="clear" w:color="auto" w:fill="66FF66"/>
        <w:tblLayout w:type="fixed"/>
        <w:tblCellMar>
          <w:left w:w="129" w:type="dxa"/>
          <w:right w:w="129" w:type="dxa"/>
        </w:tblCellMar>
        <w:tblLook w:val="0000" w:firstRow="0" w:lastRow="0" w:firstColumn="0" w:lastColumn="0" w:noHBand="0" w:noVBand="0"/>
      </w:tblPr>
      <w:tblGrid>
        <w:gridCol w:w="6626"/>
      </w:tblGrid>
      <w:tr w:rsidR="00E02C27" w:rsidTr="001B335E">
        <w:trPr>
          <w:trHeight w:val="2250"/>
          <w:jc w:val="center"/>
        </w:trPr>
        <w:tc>
          <w:tcPr>
            <w:tcW w:w="6626" w:type="dxa"/>
            <w:shd w:val="clear" w:color="auto" w:fill="66FF66"/>
            <w:vAlign w:val="center"/>
          </w:tcPr>
          <w:p w:rsidR="00E02C27" w:rsidRDefault="00E02C27">
            <w:pPr>
              <w:pStyle w:val="EncabezadoTB"/>
              <w:rPr>
                <w:rFonts w:ascii="Arial" w:hAnsi="Arial" w:cs="Arial"/>
                <w:sz w:val="48"/>
                <w:szCs w:val="48"/>
              </w:rPr>
            </w:pPr>
            <w:r>
              <w:rPr>
                <w:rFonts w:ascii="Arial" w:hAnsi="Arial" w:cs="Arial"/>
                <w:sz w:val="48"/>
                <w:szCs w:val="48"/>
              </w:rPr>
              <w:t>Nuevo Servicio Ethernet de</w:t>
            </w:r>
            <w:r w:rsidR="001B335E">
              <w:rPr>
                <w:rFonts w:ascii="Arial" w:hAnsi="Arial" w:cs="Arial"/>
                <w:sz w:val="48"/>
                <w:szCs w:val="48"/>
              </w:rPr>
              <w:t> </w:t>
            </w:r>
            <w:r>
              <w:rPr>
                <w:rFonts w:ascii="Arial" w:hAnsi="Arial" w:cs="Arial"/>
                <w:sz w:val="48"/>
                <w:szCs w:val="48"/>
              </w:rPr>
              <w:t>Banda Ancha</w:t>
            </w:r>
          </w:p>
          <w:p w:rsidR="00E02C27" w:rsidRDefault="00E02C27">
            <w:pPr>
              <w:pStyle w:val="EncabezadoTB"/>
              <w:rPr>
                <w:rFonts w:ascii="Arial" w:hAnsi="Arial" w:cs="Arial"/>
                <w:sz w:val="48"/>
                <w:szCs w:val="48"/>
              </w:rPr>
            </w:pPr>
            <w:r>
              <w:rPr>
                <w:rFonts w:ascii="Arial" w:hAnsi="Arial" w:cs="Arial"/>
                <w:sz w:val="48"/>
                <w:szCs w:val="48"/>
              </w:rPr>
              <w:t>(NEBA)</w:t>
            </w:r>
          </w:p>
        </w:tc>
      </w:tr>
      <w:tr w:rsidR="00E02C27" w:rsidTr="001B335E">
        <w:trPr>
          <w:trHeight w:val="722"/>
          <w:jc w:val="center"/>
        </w:trPr>
        <w:tc>
          <w:tcPr>
            <w:tcW w:w="6626" w:type="dxa"/>
            <w:shd w:val="clear" w:color="auto" w:fill="66FF66"/>
            <w:vAlign w:val="center"/>
          </w:tcPr>
          <w:p w:rsidR="00E02C27" w:rsidRDefault="00E02C27">
            <w:pPr>
              <w:pStyle w:val="EncabezadoTB"/>
              <w:rPr>
                <w:rFonts w:ascii="Arial" w:hAnsi="Arial" w:cs="Arial"/>
                <w:sz w:val="32"/>
                <w:szCs w:val="32"/>
              </w:rPr>
            </w:pPr>
            <w:r>
              <w:rPr>
                <w:rFonts w:ascii="Arial" w:hAnsi="Arial" w:cs="Arial"/>
                <w:sz w:val="32"/>
                <w:szCs w:val="32"/>
              </w:rPr>
              <w:t>Especificación funcional y desarrollo (B1)</w:t>
            </w:r>
          </w:p>
          <w:p w:rsidR="00E02C27" w:rsidRDefault="000D47CE" w:rsidP="00027C0E">
            <w:pPr>
              <w:pStyle w:val="EncabezadoTB"/>
              <w:rPr>
                <w:rFonts w:ascii="Arial" w:hAnsi="Arial" w:cs="Arial"/>
                <w:sz w:val="32"/>
                <w:szCs w:val="32"/>
              </w:rPr>
            </w:pPr>
            <w:r>
              <w:rPr>
                <w:rFonts w:ascii="Arial" w:hAnsi="Arial" w:cs="Arial"/>
                <w:sz w:val="32"/>
                <w:szCs w:val="32"/>
              </w:rPr>
              <w:t>V</w:t>
            </w:r>
            <w:r w:rsidR="00027C0E">
              <w:rPr>
                <w:rFonts w:ascii="Arial" w:hAnsi="Arial" w:cs="Arial"/>
                <w:sz w:val="32"/>
                <w:szCs w:val="32"/>
              </w:rPr>
              <w:t>9.</w:t>
            </w:r>
            <w:r w:rsidR="00311162">
              <w:rPr>
                <w:rFonts w:ascii="Arial" w:hAnsi="Arial" w:cs="Arial"/>
                <w:sz w:val="32"/>
                <w:szCs w:val="32"/>
              </w:rPr>
              <w:t>1</w:t>
            </w:r>
            <w:r>
              <w:rPr>
                <w:rFonts w:ascii="Arial" w:hAnsi="Arial" w:cs="Arial"/>
                <w:sz w:val="32"/>
                <w:szCs w:val="32"/>
              </w:rPr>
              <w:t xml:space="preserve"> </w:t>
            </w:r>
          </w:p>
        </w:tc>
      </w:tr>
    </w:tbl>
    <w:p w:rsidR="00E02C27" w:rsidRDefault="00E02C27">
      <w:pPr>
        <w:ind w:left="1418" w:hanging="545"/>
        <w:rPr>
          <w:rFonts w:ascii="Arial" w:hAnsi="Arial" w:cs="Arial"/>
        </w:rPr>
      </w:pPr>
    </w:p>
    <w:p w:rsidR="00E02C27" w:rsidRDefault="00E02C27">
      <w:pPr>
        <w:ind w:left="1418" w:hanging="545"/>
        <w:rPr>
          <w:rFonts w:ascii="Arial" w:hAnsi="Arial" w:cs="Arial"/>
        </w:rPr>
      </w:pPr>
    </w:p>
    <w:p w:rsidR="00E02C27" w:rsidRDefault="00E02C27">
      <w:pPr>
        <w:ind w:left="1418" w:hanging="545"/>
        <w:rPr>
          <w:rFonts w:ascii="Arial" w:hAnsi="Arial" w:cs="Arial"/>
        </w:rPr>
      </w:pPr>
    </w:p>
    <w:p w:rsidR="00E02C27" w:rsidRDefault="00E02C27">
      <w:pPr>
        <w:ind w:left="1418" w:hanging="545"/>
        <w:rPr>
          <w:rFonts w:ascii="Arial" w:hAnsi="Arial" w:cs="Arial"/>
        </w:rPr>
      </w:pPr>
    </w:p>
    <w:p w:rsidR="00E02C27" w:rsidRDefault="00E02C27">
      <w:pPr>
        <w:ind w:left="1418" w:hanging="545"/>
        <w:rPr>
          <w:rFonts w:ascii="Arial" w:hAnsi="Arial" w:cs="Arial"/>
        </w:rPr>
      </w:pPr>
    </w:p>
    <w:p w:rsidR="00E02C27" w:rsidRDefault="00E02C27">
      <w:pPr>
        <w:pStyle w:val="Ttulo"/>
        <w:ind w:left="1418" w:hanging="545"/>
        <w:rPr>
          <w:rFonts w:ascii="Arial" w:hAnsi="Arial" w:cs="Arial"/>
          <w:spacing w:val="-3"/>
        </w:rPr>
      </w:pPr>
      <w:r>
        <w:rPr>
          <w:rFonts w:ascii="Arial" w:hAnsi="Arial" w:cs="Arial"/>
        </w:rPr>
        <w:br w:type="page"/>
      </w:r>
      <w:r>
        <w:rPr>
          <w:rFonts w:ascii="Arial" w:hAnsi="Arial" w:cs="Arial"/>
        </w:rPr>
        <w:lastRenderedPageBreak/>
        <w:t>CONTROL DE EDICIONES</w:t>
      </w:r>
    </w:p>
    <w:p w:rsidR="00E02C27" w:rsidRDefault="00E02C27">
      <w:pPr>
        <w:pStyle w:val="Encabezado"/>
        <w:tabs>
          <w:tab w:val="left" w:pos="-720"/>
        </w:tabs>
        <w:suppressAutoHyphens/>
        <w:ind w:left="1418" w:hanging="545"/>
        <w:rPr>
          <w:rFonts w:ascii="Arial" w:hAnsi="Arial" w:cs="Arial"/>
          <w:spacing w:val="-3"/>
        </w:rPr>
      </w:pPr>
    </w:p>
    <w:p w:rsidR="00E02C27" w:rsidRDefault="00E02C27">
      <w:pPr>
        <w:pStyle w:val="Encabezado"/>
        <w:tabs>
          <w:tab w:val="left" w:pos="-720"/>
        </w:tabs>
        <w:suppressAutoHyphens/>
        <w:ind w:left="1418" w:hanging="545"/>
        <w:rPr>
          <w:rFonts w:ascii="Arial" w:hAnsi="Arial" w:cs="Arial"/>
          <w:spacing w:val="-3"/>
        </w:rPr>
      </w:pPr>
    </w:p>
    <w:tbl>
      <w:tblPr>
        <w:tblW w:w="8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9" w:type="dxa"/>
          <w:right w:w="129" w:type="dxa"/>
        </w:tblCellMar>
        <w:tblLook w:val="0000" w:firstRow="0" w:lastRow="0" w:firstColumn="0" w:lastColumn="0" w:noHBand="0" w:noVBand="0"/>
      </w:tblPr>
      <w:tblGrid>
        <w:gridCol w:w="1161"/>
        <w:gridCol w:w="5651"/>
        <w:gridCol w:w="1276"/>
      </w:tblGrid>
      <w:tr w:rsidR="00E02C27" w:rsidTr="005C7327">
        <w:trPr>
          <w:trHeight w:val="900"/>
          <w:jc w:val="center"/>
        </w:trPr>
        <w:tc>
          <w:tcPr>
            <w:tcW w:w="1161" w:type="dxa"/>
            <w:vAlign w:val="center"/>
          </w:tcPr>
          <w:p w:rsidR="00E02C27" w:rsidRDefault="00E02C27">
            <w:pPr>
              <w:pStyle w:val="EncabezadoTB"/>
              <w:rPr>
                <w:rFonts w:ascii="Arial" w:hAnsi="Arial" w:cs="Arial"/>
                <w:sz w:val="22"/>
                <w:szCs w:val="22"/>
              </w:rPr>
            </w:pPr>
            <w:r>
              <w:rPr>
                <w:rFonts w:ascii="Arial" w:hAnsi="Arial" w:cs="Arial"/>
                <w:sz w:val="22"/>
                <w:szCs w:val="22"/>
              </w:rPr>
              <w:t>Edición</w:t>
            </w:r>
          </w:p>
        </w:tc>
        <w:tc>
          <w:tcPr>
            <w:tcW w:w="5651" w:type="dxa"/>
            <w:vAlign w:val="center"/>
          </w:tcPr>
          <w:p w:rsidR="00E02C27" w:rsidRDefault="00E02C27">
            <w:pPr>
              <w:pStyle w:val="EncabezadoTB"/>
              <w:rPr>
                <w:rFonts w:ascii="Arial" w:hAnsi="Arial" w:cs="Arial"/>
                <w:sz w:val="22"/>
                <w:szCs w:val="22"/>
              </w:rPr>
            </w:pPr>
            <w:r>
              <w:rPr>
                <w:rFonts w:ascii="Arial" w:hAnsi="Arial" w:cs="Arial"/>
                <w:sz w:val="22"/>
                <w:szCs w:val="22"/>
              </w:rPr>
              <w:t>Cambios introducidos</w:t>
            </w:r>
          </w:p>
        </w:tc>
        <w:tc>
          <w:tcPr>
            <w:tcW w:w="1276" w:type="dxa"/>
            <w:vAlign w:val="center"/>
          </w:tcPr>
          <w:p w:rsidR="00E02C27" w:rsidRDefault="00E02C27">
            <w:pPr>
              <w:pStyle w:val="EncabezadoTB"/>
              <w:rPr>
                <w:rFonts w:ascii="Arial" w:hAnsi="Arial" w:cs="Arial"/>
                <w:sz w:val="22"/>
                <w:szCs w:val="22"/>
              </w:rPr>
            </w:pPr>
            <w:r>
              <w:rPr>
                <w:rFonts w:ascii="Arial" w:hAnsi="Arial" w:cs="Arial"/>
                <w:sz w:val="22"/>
                <w:szCs w:val="22"/>
              </w:rPr>
              <w:t>Fecha de cambio</w:t>
            </w:r>
          </w:p>
        </w:tc>
      </w:tr>
      <w:tr w:rsidR="00E02C27" w:rsidTr="005C7327">
        <w:trPr>
          <w:trHeight w:val="567"/>
          <w:jc w:val="center"/>
        </w:trPr>
        <w:tc>
          <w:tcPr>
            <w:tcW w:w="1161" w:type="dxa"/>
          </w:tcPr>
          <w:p w:rsidR="00E02C27" w:rsidRDefault="00E02C27">
            <w:pPr>
              <w:pStyle w:val="ContenidoTB"/>
              <w:spacing w:before="60"/>
              <w:rPr>
                <w:rFonts w:ascii="Arial" w:hAnsi="Arial" w:cs="Arial"/>
                <w:sz w:val="20"/>
              </w:rPr>
            </w:pPr>
            <w:r>
              <w:rPr>
                <w:rFonts w:ascii="Arial" w:hAnsi="Arial" w:cs="Arial"/>
                <w:sz w:val="20"/>
              </w:rPr>
              <w:t>v0.0</w:t>
            </w:r>
          </w:p>
          <w:p w:rsidR="00E02C27" w:rsidRDefault="00E02C27">
            <w:pPr>
              <w:pStyle w:val="ContenidoTB"/>
              <w:spacing w:before="60"/>
              <w:rPr>
                <w:rFonts w:ascii="Arial" w:hAnsi="Arial" w:cs="Arial"/>
                <w:sz w:val="20"/>
              </w:rPr>
            </w:pPr>
            <w:r>
              <w:rPr>
                <w:rFonts w:ascii="Arial" w:hAnsi="Arial" w:cs="Arial"/>
                <w:sz w:val="20"/>
              </w:rPr>
              <w:t>v1.0</w:t>
            </w: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r>
              <w:rPr>
                <w:rFonts w:ascii="Arial" w:hAnsi="Arial" w:cs="Arial"/>
                <w:sz w:val="20"/>
              </w:rPr>
              <w:t>v2.0</w:t>
            </w: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r>
              <w:rPr>
                <w:rFonts w:ascii="Arial" w:hAnsi="Arial" w:cs="Arial"/>
                <w:sz w:val="20"/>
              </w:rPr>
              <w:t>v3.0</w:t>
            </w: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r>
              <w:rPr>
                <w:rFonts w:ascii="Arial" w:hAnsi="Arial" w:cs="Arial"/>
                <w:sz w:val="20"/>
              </w:rPr>
              <w:t>V4.0</w:t>
            </w: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p w:rsidR="00E02C27" w:rsidRDefault="00E02C27">
            <w:pPr>
              <w:pStyle w:val="ContenidoTB"/>
              <w:spacing w:before="60"/>
              <w:rPr>
                <w:rFonts w:ascii="Arial" w:hAnsi="Arial" w:cs="Arial"/>
                <w:sz w:val="20"/>
              </w:rPr>
            </w:pPr>
          </w:p>
        </w:tc>
        <w:tc>
          <w:tcPr>
            <w:tcW w:w="5651" w:type="dxa"/>
          </w:tcPr>
          <w:p w:rsidR="00E02C27" w:rsidRDefault="00E02C27" w:rsidP="00A01BB6">
            <w:pPr>
              <w:pStyle w:val="ContenidoTB"/>
              <w:numPr>
                <w:ilvl w:val="0"/>
                <w:numId w:val="49"/>
              </w:numPr>
              <w:spacing w:after="20"/>
              <w:rPr>
                <w:rFonts w:ascii="Arial" w:hAnsi="Arial" w:cs="Arial"/>
                <w:sz w:val="20"/>
              </w:rPr>
            </w:pPr>
            <w:r>
              <w:rPr>
                <w:rFonts w:ascii="Arial" w:hAnsi="Arial" w:cs="Arial"/>
                <w:sz w:val="20"/>
              </w:rPr>
              <w:lastRenderedPageBreak/>
              <w:t>Versión inicial del documento</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Versión con arquitectura MonoVLAN e integración de contribuciones previas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Modificación apartados 0 descripción básica,  1 (red de acceso) 1.3.1, 3.4.1, 3.6, 3.6.4, 4, 7.2 y 8.</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Incluidos comentarios de Operadores a la versión anterior</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Se ha sustituido textos que estaban tomados directamente del documento “Planteamiento para la transformación de los sistemas de Operadores en la OBA (NEON)” de 2712/2009 por referencias a los mismos.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1.1.2, se indica que podrá incluirse la conexión entre el PTRO y la ONT.</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1.3.1, se ha incluido la QoS RT con 256k en los accesos ADSL 2+</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3.1, 3.2, 3.3, nuevos párrafos explicativos.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3.3.1, nuevo apartado sobre direcciones no codificadas en Gescal</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Tabla del apartado 3.4, modificada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3.5.2, nuevo párrafo relativo a la relación con la compartición de verticales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 xml:space="preserve">6, nueva explicación del modelo facturación </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8, nuevo apartado sobre Calidad de Servicio, tanto ANS como parámetros de QoS.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12.7.1 (del Anexo 3), se señala que el ciclo de vida del IUA puede verse modificado por la operativa que se establezca en relación con la compartición de verticales.</w:t>
            </w:r>
          </w:p>
          <w:p w:rsidR="00E02C27" w:rsidRDefault="00E02C27" w:rsidP="00A01BB6">
            <w:pPr>
              <w:pStyle w:val="ContenidoTB"/>
              <w:numPr>
                <w:ilvl w:val="0"/>
                <w:numId w:val="49"/>
              </w:numPr>
              <w:spacing w:after="20"/>
              <w:rPr>
                <w:rFonts w:ascii="Arial" w:hAnsi="Arial" w:cs="Arial"/>
                <w:sz w:val="20"/>
              </w:rPr>
            </w:pPr>
            <w:r>
              <w:rPr>
                <w:rFonts w:ascii="Arial" w:hAnsi="Arial" w:cs="Arial"/>
                <w:bCs/>
                <w:sz w:val="20"/>
              </w:rPr>
              <w:t>0.2: Actualización vocabulario</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 xml:space="preserve">0.6: </w:t>
            </w:r>
            <w:r>
              <w:rPr>
                <w:rFonts w:ascii="Arial" w:hAnsi="Arial" w:cs="Arial"/>
                <w:bCs/>
                <w:sz w:val="20"/>
              </w:rPr>
              <w:t>Incorporación datos cobertura NEBA.</w:t>
            </w:r>
          </w:p>
          <w:p w:rsidR="00E02C27" w:rsidRDefault="00E02C27" w:rsidP="00A01BB6">
            <w:pPr>
              <w:pStyle w:val="ContenidoTB"/>
              <w:numPr>
                <w:ilvl w:val="0"/>
                <w:numId w:val="49"/>
              </w:numPr>
              <w:spacing w:after="20"/>
              <w:rPr>
                <w:rFonts w:ascii="Arial" w:hAnsi="Arial" w:cs="Arial"/>
                <w:sz w:val="20"/>
              </w:rPr>
            </w:pPr>
            <w:r>
              <w:rPr>
                <w:rFonts w:ascii="Arial" w:hAnsi="Arial" w:cs="Arial"/>
                <w:bCs/>
                <w:sz w:val="20"/>
              </w:rPr>
              <w:t>1.1.1: Aclaración filtro centralizado para ADSL2+</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1.1.2.: Relativo a la ONT.</w:t>
            </w:r>
          </w:p>
          <w:p w:rsidR="00E02C27" w:rsidRDefault="00E02C27" w:rsidP="00A01BB6">
            <w:pPr>
              <w:pStyle w:val="ContenidoTB"/>
              <w:numPr>
                <w:ilvl w:val="0"/>
                <w:numId w:val="49"/>
              </w:numPr>
              <w:spacing w:after="20"/>
              <w:rPr>
                <w:rFonts w:ascii="Arial" w:hAnsi="Arial" w:cs="Arial"/>
                <w:sz w:val="20"/>
              </w:rPr>
            </w:pPr>
            <w:r>
              <w:rPr>
                <w:rFonts w:ascii="Arial" w:hAnsi="Arial" w:cs="Arial"/>
                <w:bCs/>
                <w:sz w:val="20"/>
                <w:lang w:val="es-ES_tradnl"/>
              </w:rPr>
              <w:t>1.2: Incorporación reescritura de VLAN en DSLAM. Cambios editoriales.</w:t>
            </w:r>
          </w:p>
          <w:p w:rsidR="00E02C27" w:rsidRDefault="00E02C27" w:rsidP="00A01BB6">
            <w:pPr>
              <w:pStyle w:val="ContenidoTB"/>
              <w:numPr>
                <w:ilvl w:val="0"/>
                <w:numId w:val="49"/>
              </w:numPr>
              <w:spacing w:after="20"/>
              <w:rPr>
                <w:rFonts w:ascii="Arial" w:hAnsi="Arial" w:cs="Arial"/>
                <w:sz w:val="20"/>
              </w:rPr>
            </w:pPr>
            <w:r>
              <w:rPr>
                <w:rFonts w:ascii="Arial" w:hAnsi="Arial" w:cs="Arial"/>
                <w:bCs/>
                <w:sz w:val="20"/>
              </w:rPr>
              <w:t xml:space="preserve">1.3.4: Nuevo apartado que describe la propuesta de creación de nuevos perfiles NEBA </w:t>
            </w:r>
          </w:p>
          <w:p w:rsidR="00E02C27" w:rsidRDefault="00E02C27" w:rsidP="00A01BB6">
            <w:pPr>
              <w:pStyle w:val="ContenidoTB"/>
              <w:numPr>
                <w:ilvl w:val="0"/>
                <w:numId w:val="49"/>
              </w:numPr>
              <w:spacing w:after="20"/>
              <w:rPr>
                <w:rFonts w:ascii="Arial" w:hAnsi="Arial" w:cs="Arial"/>
                <w:sz w:val="20"/>
              </w:rPr>
            </w:pPr>
            <w:r>
              <w:rPr>
                <w:rFonts w:ascii="Arial" w:hAnsi="Arial" w:cs="Arial"/>
                <w:bCs/>
                <w:sz w:val="20"/>
              </w:rPr>
              <w:t>1.3.5: Nuevo apartado sobre las implicaciones en la creación de nuevos perfiles</w:t>
            </w:r>
          </w:p>
          <w:p w:rsidR="00E02C27" w:rsidRDefault="00E02C27" w:rsidP="00A01BB6">
            <w:pPr>
              <w:pStyle w:val="ContenidoTB"/>
              <w:numPr>
                <w:ilvl w:val="0"/>
                <w:numId w:val="49"/>
              </w:numPr>
              <w:spacing w:after="20"/>
              <w:rPr>
                <w:rFonts w:ascii="Arial" w:hAnsi="Arial" w:cs="Arial"/>
                <w:sz w:val="20"/>
              </w:rPr>
            </w:pPr>
            <w:r>
              <w:rPr>
                <w:rFonts w:ascii="Arial" w:hAnsi="Arial" w:cs="Arial"/>
                <w:bCs/>
                <w:sz w:val="20"/>
                <w:lang w:val="es-ES_tradnl"/>
              </w:rPr>
              <w:t>2.1: Redacción más clara.Ver propuesta mapeo QoS</w:t>
            </w:r>
          </w:p>
          <w:p w:rsidR="00E02C27" w:rsidRDefault="00E02C27" w:rsidP="00A01BB6">
            <w:pPr>
              <w:pStyle w:val="ContenidoTB"/>
              <w:numPr>
                <w:ilvl w:val="0"/>
                <w:numId w:val="49"/>
              </w:numPr>
              <w:spacing w:after="20"/>
              <w:rPr>
                <w:rFonts w:ascii="Arial" w:hAnsi="Arial" w:cs="Arial"/>
                <w:bCs/>
                <w:sz w:val="20"/>
              </w:rPr>
            </w:pPr>
            <w:r>
              <w:rPr>
                <w:rFonts w:ascii="Arial" w:hAnsi="Arial" w:cs="Arial"/>
                <w:bCs/>
                <w:sz w:val="20"/>
              </w:rPr>
              <w:t xml:space="preserve">2.4: Incorporación disponibilidad </w:t>
            </w:r>
            <w:r>
              <w:rPr>
                <w:rFonts w:ascii="Arial" w:hAnsi="Arial" w:cs="Arial"/>
                <w:bCs/>
                <w:sz w:val="20"/>
                <w:lang w:val="es-ES_tradnl"/>
              </w:rPr>
              <w:t>interfaces 1000 Base Zx en PAI.</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3.1: Consultas masivas y unitarias.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3.2: Incompatibilidades servicio NEBA.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3.3.1: Referencia al anexo 4</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3.4: Cambios editoriales.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3.5.1: Alta sobre ocupado y alta por adición</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6: Cambios editoriales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 xml:space="preserve">8: Se incluyen parámetros de QoS y se mejora la </w:t>
            </w:r>
            <w:r>
              <w:rPr>
                <w:rFonts w:ascii="Arial" w:hAnsi="Arial" w:cs="Arial"/>
                <w:sz w:val="20"/>
              </w:rPr>
              <w:lastRenderedPageBreak/>
              <w:t>redacción.</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9. Pruebas, texto nuevo</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11: Modificaciones Anexo 2</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0.1: Se incluyen varias QoS en lugar de 3 QoS, justificación RDSI. Cambio editorial QoS y justificación RDSI</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0.3: Demarcación cambia por sector, se clarifica concepto de varios PAI en alguna provincia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0.4: cambios editoriales y aclaraciones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0.5: aclaraciones QoS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0.6: Se incluye descripción zona OBA-no OBA. Cambio editorial cobertura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 xml:space="preserve">1.1.1: Incorporación suministro equipamiento VDSL2. El VP/VC y el id. VLAN lo asigna </w:t>
            </w:r>
            <w:r w:rsidR="009D686F">
              <w:rPr>
                <w:rFonts w:ascii="Arial" w:hAnsi="Arial" w:cs="Arial"/>
                <w:sz w:val="20"/>
              </w:rPr>
              <w:t>Telefónica</w:t>
            </w:r>
            <w:r>
              <w:rPr>
                <w:rFonts w:ascii="Arial" w:hAnsi="Arial" w:cs="Arial"/>
                <w:sz w:val="20"/>
              </w:rPr>
              <w:t xml:space="preserve"> por defecto y será el mismo para todos los operadores.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1.1.2: Se incluye mención a procedimientos operativos para gestión de ONT.</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1.2: Se reescribe definición VLAN usuario y se modifica la figura. (N:1)</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 Se reescribe el apartado eliminando párrafos y modificando otros. Se añade explicación sobre perfil de validación VDSL2.</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1.3.1: Se añaden requisitos perfiles RT y regulación caudal BE en ADSL2+. Se actualizan los datos de perfil de validación y cobertura. Se actualiza la tabla de criterios. Se añade nueva modalidad en ADSL2+ 1M/320k BE con  128k/128k RT.</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1.3.2: Se actualizan perfiles de validación (nuevo 30/3 para modalidades con RT) y se incorpora la velocidad de subida. Se actualiza la tabla de criterios.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1.3.3: Se actualiza la tabla de criterios.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1.3.4: Se incorpora implantación de nuevos servicios e implantación perfiles por replicabilidad en minoristas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1.3.5: Se elimina apartado ”Actividades para  la creación de nuevos perfiles NEBA”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1.4: Se incluye explicación VLAN-S y VLAN-C</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1.4.1 Policy. Se explica regulación caudal BE en conexiones ADSL 2+</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 xml:space="preserve">1.4.3 Incorporar explicación de VLAN C asignada por </w:t>
            </w:r>
            <w:r w:rsidR="009D686F">
              <w:rPr>
                <w:rFonts w:ascii="Arial" w:hAnsi="Arial" w:cs="Arial"/>
                <w:sz w:val="20"/>
              </w:rPr>
              <w:t>Telefónica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2.1: Se modifica  tabla de mapeado de las QoS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2.4: Se modifica que la Interfaz ZX no es IE3</w:t>
            </w:r>
          </w:p>
          <w:p w:rsidR="00E02C27" w:rsidRDefault="00E02C27" w:rsidP="00A01BB6">
            <w:pPr>
              <w:pStyle w:val="ContenidoTB"/>
              <w:numPr>
                <w:ilvl w:val="0"/>
                <w:numId w:val="49"/>
              </w:numPr>
              <w:spacing w:after="20"/>
              <w:rPr>
                <w:rFonts w:ascii="Arial" w:hAnsi="Arial" w:cs="Arial"/>
                <w:sz w:val="20"/>
              </w:rPr>
            </w:pPr>
            <w:r>
              <w:rPr>
                <w:rFonts w:ascii="Arial" w:hAnsi="Arial" w:cs="Arial"/>
                <w:sz w:val="20"/>
                <w:lang w:val="pt-BR"/>
              </w:rPr>
              <w:t xml:space="preserve">2.5. Se modifica párrafo de </w:t>
            </w:r>
            <w:r w:rsidR="00BF0CCA">
              <w:rPr>
                <w:rFonts w:ascii="Arial" w:hAnsi="Arial" w:cs="Arial"/>
                <w:sz w:val="20"/>
                <w:lang w:val="pt-BR"/>
              </w:rPr>
              <w:pgNum/>
            </w:r>
            <w:r w:rsidR="00BF0CCA">
              <w:rPr>
                <w:rFonts w:ascii="Arial" w:hAnsi="Arial" w:cs="Arial"/>
                <w:sz w:val="20"/>
                <w:lang w:val="pt-BR"/>
              </w:rPr>
              <w:t>a</w:t>
            </w:r>
            <w:r w:rsidR="00BF0CCA">
              <w:rPr>
                <w:rFonts w:ascii="Arial" w:hAnsi="Arial" w:cs="Arial"/>
                <w:sz w:val="20"/>
                <w:lang w:val="pt-BR"/>
              </w:rPr>
              <w:pgNum/>
            </w:r>
            <w:r w:rsidR="00BF0CCA">
              <w:rPr>
                <w:rFonts w:ascii="Arial" w:hAnsi="Arial" w:cs="Arial"/>
                <w:sz w:val="20"/>
                <w:lang w:val="pt-BR"/>
              </w:rPr>
              <w:t>undância</w:t>
            </w:r>
            <w:r>
              <w:rPr>
                <w:rFonts w:ascii="Arial" w:hAnsi="Arial" w:cs="Arial"/>
                <w:sz w:val="20"/>
                <w:lang w:val="pt-BR"/>
              </w:rPr>
              <w:t xml:space="preserve">. </w:t>
            </w:r>
            <w:r>
              <w:rPr>
                <w:rFonts w:ascii="Arial" w:hAnsi="Arial" w:cs="Arial"/>
                <w:sz w:val="20"/>
              </w:rPr>
              <w:t>La solución Multichasis-LAG es una posibilidad, pero no la definitiva.</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2.6: Misma modificación sobre PAI que apartado 0.3</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3.1: Comentarios editoriales, simplificando párrafos</w:t>
            </w:r>
          </w:p>
          <w:p w:rsidR="00E02C27" w:rsidRDefault="00E02C27" w:rsidP="00A01BB6">
            <w:pPr>
              <w:pStyle w:val="ContenidoTB"/>
              <w:numPr>
                <w:ilvl w:val="0"/>
                <w:numId w:val="49"/>
              </w:numPr>
              <w:spacing w:after="20"/>
              <w:rPr>
                <w:rFonts w:ascii="Arial" w:hAnsi="Arial" w:cs="Arial"/>
                <w:sz w:val="20"/>
                <w:lang w:val="pt-BR"/>
              </w:rPr>
            </w:pPr>
            <w:r>
              <w:rPr>
                <w:rFonts w:ascii="Arial" w:hAnsi="Arial" w:cs="Arial"/>
                <w:sz w:val="20"/>
                <w:lang w:val="pt-BR"/>
              </w:rPr>
              <w:t xml:space="preserve">3.3: Se modifica </w:t>
            </w:r>
            <w:r w:rsidR="00BF0CCA">
              <w:rPr>
                <w:rFonts w:ascii="Arial" w:hAnsi="Arial" w:cs="Arial"/>
                <w:sz w:val="20"/>
                <w:lang w:val="pt-BR"/>
              </w:rPr>
              <w:pgNum/>
            </w:r>
            <w:r w:rsidR="00BF0CCA">
              <w:rPr>
                <w:rFonts w:ascii="Arial" w:hAnsi="Arial" w:cs="Arial"/>
                <w:sz w:val="20"/>
                <w:lang w:val="pt-BR"/>
              </w:rPr>
              <w:t>a</w:t>
            </w:r>
            <w:r>
              <w:rPr>
                <w:rFonts w:ascii="Arial" w:hAnsi="Arial" w:cs="Arial"/>
                <w:sz w:val="20"/>
                <w:lang w:val="pt-BR"/>
              </w:rPr>
              <w:t xml:space="preserve"> párrafo relativo a </w:t>
            </w:r>
            <w:r w:rsidR="00BF0CCA">
              <w:rPr>
                <w:rFonts w:ascii="Arial" w:hAnsi="Arial" w:cs="Arial"/>
                <w:sz w:val="20"/>
                <w:lang w:val="pt-BR"/>
              </w:rPr>
              <w:pgNum/>
            </w:r>
            <w:r w:rsidR="00BF0CCA">
              <w:rPr>
                <w:rFonts w:ascii="Arial" w:hAnsi="Arial" w:cs="Arial"/>
                <w:sz w:val="20"/>
                <w:lang w:val="pt-BR"/>
              </w:rPr>
              <w:t>a</w:t>
            </w:r>
            <w:r>
              <w:rPr>
                <w:rFonts w:ascii="Arial" w:hAnsi="Arial" w:cs="Arial"/>
                <w:sz w:val="20"/>
                <w:lang w:val="pt-BR"/>
              </w:rPr>
              <w:t xml:space="preserve"> consulta de cobertura NEBA-C</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3.4: Se simplifican los textos.  Se incluye una tabla resumen de identificación de accesos.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3.4.1: Nuevo apartado “</w:t>
            </w:r>
            <w:r>
              <w:rPr>
                <w:bCs/>
                <w:sz w:val="24"/>
                <w:szCs w:val="24"/>
              </w:rPr>
              <w:t>Servicio de consulta para identificación de accesos</w:t>
            </w:r>
            <w:r>
              <w:rPr>
                <w:rFonts w:ascii="Arial" w:hAnsi="Arial" w:cs="Arial"/>
                <w:sz w:val="20"/>
              </w:rPr>
              <w:t xml:space="preserve"> “al reestructurar el 3.4. Se modifica la referencia al anexo.</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lastRenderedPageBreak/>
              <w:t>3.4.2: Nuevo apartado “Identificador Único de Acceso (IUA). Definiciones y formato</w:t>
            </w:r>
            <w:r>
              <w:t>”</w:t>
            </w:r>
            <w:r>
              <w:rPr>
                <w:rFonts w:ascii="Arial" w:hAnsi="Arial" w:cs="Arial"/>
                <w:sz w:val="20"/>
              </w:rPr>
              <w:t xml:space="preserve"> que resume lo reflejado en el anterior anexo 3 (IUA). </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3.5.1: Se elimina el movimiento alta por adición</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3.5.2: Se aclaran las definiciones de movimientos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 xml:space="preserve">3.5.4: Se incorporan movimientos NEBA </w:t>
            </w:r>
            <w:r w:rsidR="00BF0CCA">
              <w:rPr>
                <w:rFonts w:ascii="Arial" w:hAnsi="Arial" w:cs="Arial"/>
                <w:sz w:val="20"/>
              </w:rPr>
              <w:t>–</w:t>
            </w:r>
            <w:r>
              <w:rPr>
                <w:rFonts w:ascii="Arial" w:hAnsi="Arial" w:cs="Arial"/>
                <w:sz w:val="20"/>
              </w:rPr>
              <w:t xml:space="preserve"> ADSL IP (SGO). Se eliminan referencias ADSL-IP+</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4: Se eliminan referencias a ADSL-IP+. Se simplifican los textos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Se elimina antiguo apartado 5 (catalogación)</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5: Se incluye la facturación de los movimientos posventa y mantenimiento y separación facturas servicios soporte y accesos.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6.1: Se incluye texto indicando la existencia del canal H2M. Las averías por entrega defectuosa se incluyen como reclamación de infraestructuras. Las reclamaciones de facturación se cursan a través del CAC.</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7.1: Las reclamaciones de provisión incluirán KPIs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7.2: Aclaraciones parámetros QoS, trama de medida de 64 bytes, unidireccional e incluyendo router de cliente</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7.3: Aclaraciones ANS y disponibilidad del servicio. Se incluye descripción detallada del sistema de medida de calidad en nuevo apartado 7.3.1 Arquitectura del sistema de medida de calidad.</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9.1 Aclaraciones editoriales</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10.3.1 Inclusión de nuevo apartado de registro de fincas indefinidas en GESCAL</w:t>
            </w:r>
          </w:p>
        </w:tc>
        <w:tc>
          <w:tcPr>
            <w:tcW w:w="1276" w:type="dxa"/>
          </w:tcPr>
          <w:p w:rsidR="00E02C27" w:rsidRDefault="00E02C27">
            <w:pPr>
              <w:pStyle w:val="ContenidoTB"/>
              <w:spacing w:before="60"/>
              <w:jc w:val="center"/>
              <w:rPr>
                <w:rFonts w:ascii="Arial" w:hAnsi="Arial" w:cs="Arial"/>
                <w:sz w:val="20"/>
              </w:rPr>
            </w:pPr>
            <w:r>
              <w:rPr>
                <w:rFonts w:ascii="Arial" w:hAnsi="Arial" w:cs="Arial"/>
                <w:sz w:val="20"/>
              </w:rPr>
              <w:lastRenderedPageBreak/>
              <w:t>22.10.2009</w:t>
            </w:r>
          </w:p>
          <w:p w:rsidR="00E02C27" w:rsidRDefault="00E02C27">
            <w:pPr>
              <w:pStyle w:val="ContenidoTB"/>
              <w:spacing w:before="60"/>
              <w:jc w:val="center"/>
              <w:rPr>
                <w:rFonts w:ascii="Arial" w:hAnsi="Arial" w:cs="Arial"/>
                <w:sz w:val="20"/>
              </w:rPr>
            </w:pPr>
            <w:r>
              <w:rPr>
                <w:rFonts w:ascii="Arial" w:hAnsi="Arial" w:cs="Arial"/>
                <w:sz w:val="20"/>
              </w:rPr>
              <w:t>08.01.2010</w:t>
            </w: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r>
              <w:rPr>
                <w:rFonts w:ascii="Arial" w:hAnsi="Arial" w:cs="Arial"/>
                <w:sz w:val="20"/>
              </w:rPr>
              <w:t>10.02.2010</w:t>
            </w: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r>
              <w:rPr>
                <w:rFonts w:ascii="Arial" w:hAnsi="Arial" w:cs="Arial"/>
                <w:sz w:val="20"/>
              </w:rPr>
              <w:t>15.03.2010</w:t>
            </w: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p>
          <w:p w:rsidR="00E02C27" w:rsidRDefault="00E02C27">
            <w:pPr>
              <w:pStyle w:val="ContenidoTB"/>
              <w:spacing w:before="60"/>
              <w:jc w:val="center"/>
              <w:rPr>
                <w:rFonts w:ascii="Arial" w:hAnsi="Arial" w:cs="Arial"/>
                <w:sz w:val="20"/>
              </w:rPr>
            </w:pPr>
            <w:r>
              <w:rPr>
                <w:rFonts w:ascii="Arial" w:hAnsi="Arial" w:cs="Arial"/>
                <w:sz w:val="20"/>
              </w:rPr>
              <w:t>21.04.2010</w:t>
            </w:r>
          </w:p>
        </w:tc>
      </w:tr>
      <w:tr w:rsidR="00E02C27" w:rsidTr="005C7327">
        <w:trPr>
          <w:trHeight w:val="567"/>
          <w:jc w:val="center"/>
        </w:trPr>
        <w:tc>
          <w:tcPr>
            <w:tcW w:w="1161" w:type="dxa"/>
          </w:tcPr>
          <w:p w:rsidR="00E02C27" w:rsidRDefault="00E02C27">
            <w:pPr>
              <w:pStyle w:val="ContenidoTB"/>
              <w:spacing w:before="60"/>
              <w:jc w:val="center"/>
              <w:rPr>
                <w:rFonts w:ascii="Arial" w:hAnsi="Arial" w:cs="Arial"/>
                <w:sz w:val="20"/>
              </w:rPr>
            </w:pPr>
            <w:r>
              <w:rPr>
                <w:rFonts w:ascii="Arial" w:hAnsi="Arial" w:cs="Arial"/>
                <w:sz w:val="20"/>
              </w:rPr>
              <w:lastRenderedPageBreak/>
              <w:t>V4.01</w:t>
            </w:r>
          </w:p>
        </w:tc>
        <w:tc>
          <w:tcPr>
            <w:tcW w:w="5651" w:type="dxa"/>
          </w:tcPr>
          <w:p w:rsidR="00E02C27" w:rsidRDefault="00E02C27" w:rsidP="00A01BB6">
            <w:pPr>
              <w:pStyle w:val="ContenidoTB"/>
              <w:numPr>
                <w:ilvl w:val="0"/>
                <w:numId w:val="49"/>
              </w:numPr>
              <w:spacing w:after="20"/>
              <w:rPr>
                <w:rFonts w:ascii="Arial" w:hAnsi="Arial" w:cs="Arial"/>
                <w:sz w:val="20"/>
              </w:rPr>
            </w:pPr>
            <w:r>
              <w:rPr>
                <w:rFonts w:ascii="Arial" w:hAnsi="Arial" w:cs="Arial"/>
                <w:sz w:val="20"/>
              </w:rPr>
              <w:t>1.1.2 Modificación de la descripción de la oferta comercial de mantenimiento de la ONT.</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1.3.4 Supresión de una figura explicativa que no concordaba plenamente con la descripción del texto.</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7.2 Aclaraciones sobre parámetros de calidad de servicio.</w:t>
            </w:r>
          </w:p>
          <w:p w:rsidR="00E02C27" w:rsidRDefault="00E02C27" w:rsidP="00A01BB6">
            <w:pPr>
              <w:pStyle w:val="ContenidoTB"/>
              <w:numPr>
                <w:ilvl w:val="0"/>
                <w:numId w:val="49"/>
              </w:numPr>
              <w:spacing w:after="20"/>
              <w:rPr>
                <w:rFonts w:ascii="Arial" w:hAnsi="Arial" w:cs="Arial"/>
                <w:sz w:val="20"/>
              </w:rPr>
            </w:pPr>
            <w:r>
              <w:rPr>
                <w:rFonts w:ascii="Arial" w:hAnsi="Arial" w:cs="Arial"/>
                <w:sz w:val="20"/>
              </w:rPr>
              <w:t>10.3 Modificaciones en la operativa  del proceso de alta de calle y alta de domicilio en GESCAL puesto a disposición de los operadores.</w:t>
            </w:r>
          </w:p>
        </w:tc>
        <w:tc>
          <w:tcPr>
            <w:tcW w:w="1276" w:type="dxa"/>
          </w:tcPr>
          <w:p w:rsidR="00E02C27" w:rsidRDefault="00E02C27">
            <w:pPr>
              <w:pStyle w:val="ContenidoTB"/>
              <w:spacing w:before="60"/>
              <w:jc w:val="center"/>
              <w:rPr>
                <w:rFonts w:ascii="Arial" w:hAnsi="Arial" w:cs="Arial"/>
                <w:sz w:val="20"/>
              </w:rPr>
            </w:pPr>
            <w:r>
              <w:rPr>
                <w:rFonts w:ascii="Arial" w:hAnsi="Arial" w:cs="Arial"/>
                <w:sz w:val="20"/>
              </w:rPr>
              <w:t>26.05.2010</w:t>
            </w:r>
          </w:p>
        </w:tc>
      </w:tr>
      <w:tr w:rsidR="00DE1872" w:rsidTr="005C7327">
        <w:trPr>
          <w:jc w:val="center"/>
        </w:trPr>
        <w:tc>
          <w:tcPr>
            <w:tcW w:w="1161" w:type="dxa"/>
          </w:tcPr>
          <w:p w:rsidR="00DE1872" w:rsidRDefault="00DE1872">
            <w:pPr>
              <w:pStyle w:val="ContenidoTB"/>
              <w:spacing w:before="60"/>
              <w:jc w:val="center"/>
              <w:rPr>
                <w:rFonts w:ascii="Arial" w:hAnsi="Arial" w:cs="Arial"/>
                <w:sz w:val="20"/>
              </w:rPr>
            </w:pPr>
            <w:r>
              <w:rPr>
                <w:rFonts w:ascii="Arial" w:hAnsi="Arial" w:cs="Arial"/>
                <w:sz w:val="20"/>
              </w:rPr>
              <w:t>V5</w:t>
            </w:r>
          </w:p>
        </w:tc>
        <w:tc>
          <w:tcPr>
            <w:tcW w:w="5651" w:type="dxa"/>
          </w:tcPr>
          <w:p w:rsidR="00DE1872" w:rsidRDefault="00DE1872">
            <w:pPr>
              <w:pStyle w:val="ContenidoTB"/>
              <w:numPr>
                <w:ilvl w:val="0"/>
                <w:numId w:val="49"/>
              </w:numPr>
              <w:spacing w:before="60"/>
              <w:rPr>
                <w:rFonts w:ascii="Arial" w:hAnsi="Arial" w:cs="Arial"/>
                <w:sz w:val="20"/>
              </w:rPr>
            </w:pPr>
            <w:r>
              <w:rPr>
                <w:rFonts w:ascii="Arial" w:hAnsi="Arial" w:cs="Arial"/>
                <w:sz w:val="20"/>
              </w:rPr>
              <w:t xml:space="preserve">Versión para </w:t>
            </w:r>
            <w:r w:rsidR="00ED5F46">
              <w:rPr>
                <w:rFonts w:ascii="Arial" w:hAnsi="Arial" w:cs="Arial"/>
                <w:sz w:val="20"/>
              </w:rPr>
              <w:t xml:space="preserve">proyecto de medida </w:t>
            </w:r>
            <w:r>
              <w:rPr>
                <w:rFonts w:ascii="Arial" w:hAnsi="Arial" w:cs="Arial"/>
                <w:sz w:val="20"/>
              </w:rPr>
              <w:t>de la CMT</w:t>
            </w:r>
          </w:p>
        </w:tc>
        <w:tc>
          <w:tcPr>
            <w:tcW w:w="1276" w:type="dxa"/>
          </w:tcPr>
          <w:p w:rsidR="00DE1872" w:rsidRDefault="00D42A13">
            <w:pPr>
              <w:pStyle w:val="ContenidoTB"/>
              <w:spacing w:before="60"/>
              <w:jc w:val="center"/>
              <w:rPr>
                <w:rFonts w:ascii="Arial" w:hAnsi="Arial" w:cs="Arial"/>
                <w:sz w:val="20"/>
              </w:rPr>
            </w:pPr>
            <w:r>
              <w:rPr>
                <w:rFonts w:ascii="Arial" w:hAnsi="Arial" w:cs="Arial"/>
                <w:sz w:val="20"/>
              </w:rPr>
              <w:t>15.06.2010</w:t>
            </w:r>
          </w:p>
        </w:tc>
      </w:tr>
      <w:tr w:rsidR="00BF0CCA" w:rsidTr="005C7327">
        <w:trPr>
          <w:jc w:val="center"/>
        </w:trPr>
        <w:tc>
          <w:tcPr>
            <w:tcW w:w="1161" w:type="dxa"/>
          </w:tcPr>
          <w:p w:rsidR="00BF0CCA" w:rsidRDefault="00BF0CCA">
            <w:pPr>
              <w:pStyle w:val="ContenidoTB"/>
              <w:spacing w:before="60"/>
              <w:jc w:val="center"/>
              <w:rPr>
                <w:rFonts w:ascii="Arial" w:hAnsi="Arial" w:cs="Arial"/>
                <w:sz w:val="20"/>
              </w:rPr>
            </w:pPr>
            <w:r>
              <w:rPr>
                <w:rFonts w:ascii="Arial" w:hAnsi="Arial" w:cs="Arial"/>
                <w:sz w:val="20"/>
              </w:rPr>
              <w:t>V6</w:t>
            </w:r>
          </w:p>
        </w:tc>
        <w:tc>
          <w:tcPr>
            <w:tcW w:w="5651" w:type="dxa"/>
          </w:tcPr>
          <w:p w:rsidR="00BF0CCA" w:rsidRDefault="00BF0CCA">
            <w:pPr>
              <w:pStyle w:val="ContenidoTB"/>
              <w:numPr>
                <w:ilvl w:val="0"/>
                <w:numId w:val="49"/>
              </w:numPr>
              <w:spacing w:before="60"/>
              <w:rPr>
                <w:rFonts w:ascii="Arial" w:hAnsi="Arial" w:cs="Arial"/>
                <w:sz w:val="20"/>
              </w:rPr>
            </w:pPr>
            <w:r>
              <w:rPr>
                <w:rFonts w:ascii="Arial" w:hAnsi="Arial" w:cs="Arial"/>
                <w:sz w:val="20"/>
              </w:rPr>
              <w:t xml:space="preserve">Versión </w:t>
            </w:r>
            <w:r w:rsidR="00B8522D">
              <w:rPr>
                <w:rFonts w:ascii="Arial" w:hAnsi="Arial" w:cs="Arial"/>
                <w:sz w:val="20"/>
              </w:rPr>
              <w:t>Resolución CMT</w:t>
            </w:r>
          </w:p>
        </w:tc>
        <w:tc>
          <w:tcPr>
            <w:tcW w:w="1276" w:type="dxa"/>
          </w:tcPr>
          <w:p w:rsidR="00BF0CCA" w:rsidRDefault="00B72061">
            <w:pPr>
              <w:pStyle w:val="ContenidoTB"/>
              <w:spacing w:before="60"/>
              <w:jc w:val="center"/>
              <w:rPr>
                <w:rFonts w:ascii="Arial" w:hAnsi="Arial" w:cs="Arial"/>
                <w:sz w:val="20"/>
              </w:rPr>
            </w:pPr>
            <w:r>
              <w:rPr>
                <w:rFonts w:ascii="Arial" w:hAnsi="Arial" w:cs="Arial"/>
                <w:sz w:val="20"/>
              </w:rPr>
              <w:t>11.11.2010</w:t>
            </w:r>
          </w:p>
        </w:tc>
      </w:tr>
      <w:tr w:rsidR="00A51433" w:rsidTr="005C7327">
        <w:trPr>
          <w:jc w:val="center"/>
        </w:trPr>
        <w:tc>
          <w:tcPr>
            <w:tcW w:w="1161" w:type="dxa"/>
          </w:tcPr>
          <w:p w:rsidR="00A51433" w:rsidRDefault="00A51433">
            <w:pPr>
              <w:pStyle w:val="ContenidoTB"/>
              <w:spacing w:before="60"/>
              <w:jc w:val="center"/>
              <w:rPr>
                <w:rFonts w:ascii="Arial" w:hAnsi="Arial" w:cs="Arial"/>
                <w:sz w:val="20"/>
              </w:rPr>
            </w:pPr>
            <w:r>
              <w:rPr>
                <w:rFonts w:ascii="Arial" w:hAnsi="Arial" w:cs="Arial"/>
                <w:sz w:val="20"/>
              </w:rPr>
              <w:t>V7</w:t>
            </w:r>
          </w:p>
        </w:tc>
        <w:tc>
          <w:tcPr>
            <w:tcW w:w="5651" w:type="dxa"/>
          </w:tcPr>
          <w:p w:rsidR="00A51433" w:rsidRDefault="00A51433">
            <w:pPr>
              <w:pStyle w:val="ContenidoTB"/>
              <w:numPr>
                <w:ilvl w:val="0"/>
                <w:numId w:val="49"/>
              </w:numPr>
              <w:spacing w:before="60"/>
              <w:rPr>
                <w:rFonts w:ascii="Arial" w:hAnsi="Arial" w:cs="Arial"/>
                <w:sz w:val="20"/>
              </w:rPr>
            </w:pPr>
            <w:r>
              <w:rPr>
                <w:rFonts w:ascii="Arial" w:hAnsi="Arial" w:cs="Arial"/>
                <w:sz w:val="20"/>
              </w:rPr>
              <w:t>Versión para trámite de audiencia oferta de referencia</w:t>
            </w:r>
          </w:p>
        </w:tc>
        <w:tc>
          <w:tcPr>
            <w:tcW w:w="1276" w:type="dxa"/>
          </w:tcPr>
          <w:p w:rsidR="00A51433" w:rsidRDefault="00A01BB6">
            <w:pPr>
              <w:pStyle w:val="ContenidoTB"/>
              <w:spacing w:before="60"/>
              <w:jc w:val="center"/>
              <w:rPr>
                <w:rFonts w:ascii="Arial" w:hAnsi="Arial" w:cs="Arial"/>
                <w:sz w:val="20"/>
              </w:rPr>
            </w:pPr>
            <w:r>
              <w:rPr>
                <w:rFonts w:ascii="Arial" w:hAnsi="Arial" w:cs="Arial"/>
                <w:sz w:val="20"/>
              </w:rPr>
              <w:t>27.07.2011</w:t>
            </w:r>
          </w:p>
        </w:tc>
      </w:tr>
      <w:tr w:rsidR="00A01BB6" w:rsidTr="005C7327">
        <w:trPr>
          <w:jc w:val="center"/>
        </w:trPr>
        <w:tc>
          <w:tcPr>
            <w:tcW w:w="1161" w:type="dxa"/>
          </w:tcPr>
          <w:p w:rsidR="00A01BB6" w:rsidRDefault="00A01BB6">
            <w:pPr>
              <w:pStyle w:val="ContenidoTB"/>
              <w:spacing w:before="60"/>
              <w:jc w:val="center"/>
              <w:rPr>
                <w:rFonts w:ascii="Arial" w:hAnsi="Arial" w:cs="Arial"/>
                <w:sz w:val="20"/>
              </w:rPr>
            </w:pPr>
            <w:r>
              <w:rPr>
                <w:rFonts w:ascii="Arial" w:hAnsi="Arial" w:cs="Arial"/>
                <w:sz w:val="20"/>
              </w:rPr>
              <w:t>V8</w:t>
            </w:r>
          </w:p>
        </w:tc>
        <w:tc>
          <w:tcPr>
            <w:tcW w:w="5651" w:type="dxa"/>
          </w:tcPr>
          <w:p w:rsidR="00A01BB6" w:rsidRDefault="00A01BB6">
            <w:pPr>
              <w:pStyle w:val="ContenidoTB"/>
              <w:numPr>
                <w:ilvl w:val="0"/>
                <w:numId w:val="49"/>
              </w:numPr>
              <w:spacing w:before="60"/>
              <w:rPr>
                <w:rFonts w:ascii="Arial" w:hAnsi="Arial" w:cs="Arial"/>
                <w:sz w:val="20"/>
              </w:rPr>
            </w:pPr>
            <w:r>
              <w:rPr>
                <w:rFonts w:ascii="Arial" w:hAnsi="Arial" w:cs="Arial"/>
                <w:sz w:val="20"/>
              </w:rPr>
              <w:t>Versión Resolución CMT</w:t>
            </w:r>
            <w:r w:rsidR="005A7BF5">
              <w:rPr>
                <w:rFonts w:ascii="Arial" w:hAnsi="Arial" w:cs="Arial"/>
                <w:sz w:val="20"/>
              </w:rPr>
              <w:t xml:space="preserve"> oferta de referencia</w:t>
            </w:r>
          </w:p>
        </w:tc>
        <w:tc>
          <w:tcPr>
            <w:tcW w:w="1276" w:type="dxa"/>
          </w:tcPr>
          <w:p w:rsidR="00A01BB6" w:rsidRDefault="005A7BF5" w:rsidP="002B5A34">
            <w:pPr>
              <w:pStyle w:val="ContenidoTB"/>
              <w:spacing w:before="60"/>
              <w:jc w:val="center"/>
              <w:rPr>
                <w:rFonts w:ascii="Arial" w:hAnsi="Arial" w:cs="Arial"/>
                <w:sz w:val="20"/>
              </w:rPr>
            </w:pPr>
            <w:r>
              <w:rPr>
                <w:rFonts w:ascii="Arial" w:hAnsi="Arial" w:cs="Arial"/>
                <w:sz w:val="20"/>
              </w:rPr>
              <w:t>0</w:t>
            </w:r>
            <w:r w:rsidR="002B5A34">
              <w:rPr>
                <w:rFonts w:ascii="Arial" w:hAnsi="Arial" w:cs="Arial"/>
                <w:sz w:val="20"/>
              </w:rPr>
              <w:t>3</w:t>
            </w:r>
            <w:r>
              <w:rPr>
                <w:rFonts w:ascii="Arial" w:hAnsi="Arial" w:cs="Arial"/>
                <w:sz w:val="20"/>
              </w:rPr>
              <w:t>.11.2011</w:t>
            </w:r>
          </w:p>
        </w:tc>
      </w:tr>
      <w:tr w:rsidR="00DE31D2" w:rsidTr="005C7327">
        <w:trPr>
          <w:jc w:val="center"/>
        </w:trPr>
        <w:tc>
          <w:tcPr>
            <w:tcW w:w="1161" w:type="dxa"/>
          </w:tcPr>
          <w:p w:rsidR="00DE31D2" w:rsidRDefault="00DE31D2">
            <w:pPr>
              <w:pStyle w:val="ContenidoTB"/>
              <w:spacing w:before="60"/>
              <w:jc w:val="center"/>
              <w:rPr>
                <w:rFonts w:ascii="Arial" w:hAnsi="Arial" w:cs="Arial"/>
                <w:sz w:val="20"/>
              </w:rPr>
            </w:pPr>
            <w:r>
              <w:rPr>
                <w:rFonts w:ascii="Arial" w:hAnsi="Arial" w:cs="Arial"/>
                <w:sz w:val="20"/>
              </w:rPr>
              <w:t>V8.1</w:t>
            </w:r>
          </w:p>
        </w:tc>
        <w:tc>
          <w:tcPr>
            <w:tcW w:w="5651" w:type="dxa"/>
          </w:tcPr>
          <w:p w:rsidR="00E12005" w:rsidRDefault="00DE31D2" w:rsidP="00DE31D2">
            <w:pPr>
              <w:pStyle w:val="ContenidoTB"/>
              <w:numPr>
                <w:ilvl w:val="0"/>
                <w:numId w:val="49"/>
              </w:numPr>
              <w:spacing w:before="60"/>
              <w:rPr>
                <w:rFonts w:ascii="Arial" w:hAnsi="Arial" w:cs="Arial"/>
                <w:sz w:val="20"/>
              </w:rPr>
            </w:pPr>
            <w:r>
              <w:rPr>
                <w:rFonts w:ascii="Arial" w:hAnsi="Arial" w:cs="Arial"/>
                <w:sz w:val="20"/>
              </w:rPr>
              <w:t>Versión Resolución CMT cambios oferta de referencia</w:t>
            </w:r>
          </w:p>
          <w:p w:rsidR="00DE31D2" w:rsidRDefault="00DE31D2" w:rsidP="00DE31D2">
            <w:pPr>
              <w:pStyle w:val="ContenidoTB"/>
              <w:numPr>
                <w:ilvl w:val="0"/>
                <w:numId w:val="49"/>
              </w:numPr>
              <w:spacing w:before="60"/>
              <w:rPr>
                <w:rFonts w:ascii="Arial" w:hAnsi="Arial" w:cs="Arial"/>
                <w:sz w:val="20"/>
              </w:rPr>
            </w:pPr>
            <w:r>
              <w:rPr>
                <w:rFonts w:ascii="Arial" w:hAnsi="Arial" w:cs="Arial"/>
                <w:sz w:val="20"/>
              </w:rPr>
              <w:t>Adaptación texto sobre VP/VC y VLAN (eliminar referencia a que Telefónica es quien lo asigna por defecto)</w:t>
            </w:r>
          </w:p>
          <w:p w:rsidR="00E12005" w:rsidRDefault="00E12005" w:rsidP="00DE31D2">
            <w:pPr>
              <w:pStyle w:val="ContenidoTB"/>
              <w:numPr>
                <w:ilvl w:val="0"/>
                <w:numId w:val="49"/>
              </w:numPr>
              <w:spacing w:before="60"/>
              <w:rPr>
                <w:rFonts w:ascii="Arial" w:hAnsi="Arial" w:cs="Arial"/>
                <w:sz w:val="20"/>
              </w:rPr>
            </w:pPr>
            <w:r>
              <w:rPr>
                <w:rFonts w:ascii="Arial" w:hAnsi="Arial" w:cs="Arial"/>
                <w:sz w:val="20"/>
              </w:rPr>
              <w:t>Se añade frase indicando la independencia de protocolos de nivel 3 y superior</w:t>
            </w:r>
          </w:p>
        </w:tc>
        <w:tc>
          <w:tcPr>
            <w:tcW w:w="1276" w:type="dxa"/>
          </w:tcPr>
          <w:p w:rsidR="00DE31D2" w:rsidRDefault="006611E1" w:rsidP="002B5A34">
            <w:pPr>
              <w:pStyle w:val="ContenidoTB"/>
              <w:spacing w:before="60"/>
              <w:jc w:val="center"/>
              <w:rPr>
                <w:rFonts w:ascii="Arial" w:hAnsi="Arial" w:cs="Arial"/>
                <w:sz w:val="20"/>
              </w:rPr>
            </w:pPr>
            <w:r>
              <w:rPr>
                <w:rFonts w:ascii="Arial" w:hAnsi="Arial" w:cs="Arial"/>
                <w:sz w:val="20"/>
              </w:rPr>
              <w:t>10.02</w:t>
            </w:r>
            <w:r w:rsidR="00DE31D2">
              <w:rPr>
                <w:rFonts w:ascii="Arial" w:hAnsi="Arial" w:cs="Arial"/>
                <w:sz w:val="20"/>
              </w:rPr>
              <w:t>.2013</w:t>
            </w:r>
          </w:p>
        </w:tc>
      </w:tr>
      <w:tr w:rsidR="00713135" w:rsidTr="005C7327">
        <w:trPr>
          <w:jc w:val="center"/>
        </w:trPr>
        <w:tc>
          <w:tcPr>
            <w:tcW w:w="1161" w:type="dxa"/>
          </w:tcPr>
          <w:p w:rsidR="00713135" w:rsidRDefault="00713135">
            <w:pPr>
              <w:pStyle w:val="ContenidoTB"/>
              <w:spacing w:before="60"/>
              <w:jc w:val="center"/>
              <w:rPr>
                <w:rFonts w:ascii="Arial" w:hAnsi="Arial" w:cs="Arial"/>
                <w:sz w:val="20"/>
              </w:rPr>
            </w:pPr>
            <w:r>
              <w:rPr>
                <w:rFonts w:ascii="Arial" w:hAnsi="Arial" w:cs="Arial"/>
                <w:sz w:val="20"/>
              </w:rPr>
              <w:t>V8.2</w:t>
            </w:r>
          </w:p>
        </w:tc>
        <w:tc>
          <w:tcPr>
            <w:tcW w:w="5651" w:type="dxa"/>
          </w:tcPr>
          <w:p w:rsidR="00713135" w:rsidRDefault="00713135" w:rsidP="00713135">
            <w:pPr>
              <w:pStyle w:val="ContenidoTB"/>
              <w:numPr>
                <w:ilvl w:val="0"/>
                <w:numId w:val="49"/>
              </w:numPr>
              <w:spacing w:before="60"/>
              <w:rPr>
                <w:rFonts w:ascii="Arial" w:hAnsi="Arial" w:cs="Arial"/>
                <w:sz w:val="20"/>
              </w:rPr>
            </w:pPr>
            <w:r>
              <w:rPr>
                <w:rFonts w:ascii="Arial" w:hAnsi="Arial" w:cs="Arial"/>
                <w:sz w:val="20"/>
              </w:rPr>
              <w:t>Nuevos plazos de provisión (portabilidad en 24h)</w:t>
            </w:r>
          </w:p>
        </w:tc>
        <w:tc>
          <w:tcPr>
            <w:tcW w:w="1276" w:type="dxa"/>
          </w:tcPr>
          <w:p w:rsidR="00713135" w:rsidRDefault="00713135" w:rsidP="002B5A34">
            <w:pPr>
              <w:pStyle w:val="ContenidoTB"/>
              <w:spacing w:before="60"/>
              <w:jc w:val="center"/>
              <w:rPr>
                <w:rFonts w:ascii="Arial" w:hAnsi="Arial" w:cs="Arial"/>
                <w:sz w:val="20"/>
              </w:rPr>
            </w:pPr>
            <w:r>
              <w:rPr>
                <w:rFonts w:ascii="Arial" w:hAnsi="Arial" w:cs="Arial"/>
                <w:sz w:val="20"/>
              </w:rPr>
              <w:t>11.11.2013</w:t>
            </w:r>
          </w:p>
        </w:tc>
      </w:tr>
      <w:tr w:rsidR="00027C0E" w:rsidTr="005C7327">
        <w:trPr>
          <w:jc w:val="center"/>
        </w:trPr>
        <w:tc>
          <w:tcPr>
            <w:tcW w:w="1161" w:type="dxa"/>
          </w:tcPr>
          <w:p w:rsidR="00027C0E" w:rsidRDefault="00027C0E">
            <w:pPr>
              <w:pStyle w:val="ContenidoTB"/>
              <w:spacing w:before="60"/>
              <w:jc w:val="center"/>
              <w:rPr>
                <w:rFonts w:ascii="Arial" w:hAnsi="Arial" w:cs="Arial"/>
                <w:sz w:val="20"/>
              </w:rPr>
            </w:pPr>
            <w:r>
              <w:rPr>
                <w:rFonts w:ascii="Arial" w:hAnsi="Arial" w:cs="Arial"/>
                <w:sz w:val="20"/>
              </w:rPr>
              <w:t>V9.0</w:t>
            </w:r>
          </w:p>
        </w:tc>
        <w:tc>
          <w:tcPr>
            <w:tcW w:w="5651" w:type="dxa"/>
          </w:tcPr>
          <w:p w:rsidR="00027C0E" w:rsidRDefault="00027C0E" w:rsidP="00027C0E">
            <w:pPr>
              <w:pStyle w:val="ContenidoTB"/>
              <w:numPr>
                <w:ilvl w:val="0"/>
                <w:numId w:val="49"/>
              </w:numPr>
              <w:spacing w:before="60"/>
              <w:rPr>
                <w:rFonts w:ascii="Arial" w:hAnsi="Arial" w:cs="Arial"/>
                <w:sz w:val="20"/>
              </w:rPr>
            </w:pPr>
            <w:r>
              <w:rPr>
                <w:rFonts w:ascii="Arial" w:hAnsi="Arial" w:cs="Arial"/>
                <w:sz w:val="20"/>
              </w:rPr>
              <w:t>Revisión de la oferta</w:t>
            </w:r>
            <w:r w:rsidR="00EB054A">
              <w:rPr>
                <w:rFonts w:ascii="Arial" w:hAnsi="Arial" w:cs="Arial"/>
                <w:sz w:val="20"/>
              </w:rPr>
              <w:t>,</w:t>
            </w:r>
            <w:r>
              <w:rPr>
                <w:rFonts w:ascii="Arial" w:hAnsi="Arial" w:cs="Arial"/>
                <w:sz w:val="20"/>
              </w:rPr>
              <w:t xml:space="preserve"> </w:t>
            </w:r>
            <w:r w:rsidRPr="00027C0E">
              <w:rPr>
                <w:rFonts w:ascii="Arial" w:hAnsi="Arial" w:cs="Arial"/>
                <w:sz w:val="20"/>
              </w:rPr>
              <w:t>OFE/DTSA/1456/14/REVISION OFERTA NEBA</w:t>
            </w:r>
          </w:p>
        </w:tc>
        <w:tc>
          <w:tcPr>
            <w:tcW w:w="1276" w:type="dxa"/>
          </w:tcPr>
          <w:p w:rsidR="00027C0E" w:rsidRDefault="00064109" w:rsidP="002B5A34">
            <w:pPr>
              <w:pStyle w:val="ContenidoTB"/>
              <w:spacing w:before="60"/>
              <w:jc w:val="center"/>
              <w:rPr>
                <w:rFonts w:ascii="Arial" w:hAnsi="Arial" w:cs="Arial"/>
                <w:sz w:val="20"/>
              </w:rPr>
            </w:pPr>
            <w:r>
              <w:rPr>
                <w:rFonts w:ascii="Arial" w:hAnsi="Arial" w:cs="Arial"/>
                <w:sz w:val="20"/>
              </w:rPr>
              <w:t>Mar</w:t>
            </w:r>
            <w:r w:rsidR="003D03AA">
              <w:rPr>
                <w:rFonts w:ascii="Arial" w:hAnsi="Arial" w:cs="Arial"/>
                <w:sz w:val="20"/>
              </w:rPr>
              <w:t>zo</w:t>
            </w:r>
            <w:r w:rsidR="009D4EF0">
              <w:rPr>
                <w:rFonts w:ascii="Arial" w:hAnsi="Arial" w:cs="Arial"/>
                <w:sz w:val="20"/>
              </w:rPr>
              <w:t xml:space="preserve"> 201</w:t>
            </w:r>
            <w:r>
              <w:rPr>
                <w:rFonts w:ascii="Arial" w:hAnsi="Arial" w:cs="Arial"/>
                <w:sz w:val="20"/>
              </w:rPr>
              <w:t>6</w:t>
            </w:r>
          </w:p>
        </w:tc>
      </w:tr>
      <w:tr w:rsidR="00311162" w:rsidTr="005C7327">
        <w:trPr>
          <w:jc w:val="center"/>
        </w:trPr>
        <w:tc>
          <w:tcPr>
            <w:tcW w:w="1161" w:type="dxa"/>
          </w:tcPr>
          <w:p w:rsidR="00311162" w:rsidRDefault="00311162">
            <w:pPr>
              <w:pStyle w:val="ContenidoTB"/>
              <w:spacing w:before="60"/>
              <w:jc w:val="center"/>
              <w:rPr>
                <w:rFonts w:ascii="Arial" w:hAnsi="Arial" w:cs="Arial"/>
                <w:sz w:val="20"/>
              </w:rPr>
            </w:pPr>
            <w:r>
              <w:rPr>
                <w:rFonts w:ascii="Arial" w:hAnsi="Arial" w:cs="Arial"/>
                <w:sz w:val="20"/>
              </w:rPr>
              <w:t>V9.1</w:t>
            </w:r>
          </w:p>
        </w:tc>
        <w:tc>
          <w:tcPr>
            <w:tcW w:w="5651" w:type="dxa"/>
          </w:tcPr>
          <w:p w:rsidR="00311162" w:rsidRDefault="00311162" w:rsidP="00311162">
            <w:pPr>
              <w:pStyle w:val="ContenidoTB"/>
              <w:numPr>
                <w:ilvl w:val="0"/>
                <w:numId w:val="49"/>
              </w:numPr>
              <w:spacing w:before="60"/>
              <w:rPr>
                <w:rFonts w:ascii="Arial" w:hAnsi="Arial" w:cs="Arial"/>
                <w:sz w:val="20"/>
              </w:rPr>
            </w:pPr>
            <w:r w:rsidRPr="00311162">
              <w:rPr>
                <w:rFonts w:ascii="Arial" w:hAnsi="Arial" w:cs="Arial"/>
                <w:sz w:val="20"/>
              </w:rPr>
              <w:t>Actualización del WS de cobertura</w:t>
            </w:r>
            <w:r>
              <w:rPr>
                <w:rFonts w:ascii="Arial" w:hAnsi="Arial" w:cs="Arial"/>
                <w:sz w:val="20"/>
              </w:rPr>
              <w:t xml:space="preserve">, </w:t>
            </w:r>
            <w:r w:rsidRPr="00311162">
              <w:rPr>
                <w:rFonts w:ascii="Arial" w:hAnsi="Arial" w:cs="Arial"/>
                <w:sz w:val="20"/>
              </w:rPr>
              <w:t>Resolución OFE/DTSA/001/17 WS COBERTURA</w:t>
            </w:r>
          </w:p>
        </w:tc>
        <w:tc>
          <w:tcPr>
            <w:tcW w:w="1276" w:type="dxa"/>
          </w:tcPr>
          <w:p w:rsidR="00311162" w:rsidRDefault="00311162" w:rsidP="002B5A34">
            <w:pPr>
              <w:pStyle w:val="ContenidoTB"/>
              <w:spacing w:before="60"/>
              <w:jc w:val="center"/>
              <w:rPr>
                <w:rFonts w:ascii="Arial" w:hAnsi="Arial" w:cs="Arial"/>
                <w:sz w:val="20"/>
              </w:rPr>
            </w:pPr>
            <w:r>
              <w:rPr>
                <w:rFonts w:ascii="Arial" w:hAnsi="Arial" w:cs="Arial"/>
                <w:sz w:val="20"/>
              </w:rPr>
              <w:t>Marzo 2017</w:t>
            </w:r>
          </w:p>
        </w:tc>
      </w:tr>
    </w:tbl>
    <w:p w:rsidR="00E02C27" w:rsidRDefault="00E02C27">
      <w:pPr>
        <w:pStyle w:val="Listaconvietas"/>
        <w:numPr>
          <w:ilvl w:val="0"/>
          <w:numId w:val="0"/>
        </w:numPr>
        <w:spacing w:after="240"/>
        <w:ind w:left="1418" w:hanging="545"/>
        <w:jc w:val="center"/>
        <w:rPr>
          <w:rFonts w:ascii="Arial" w:hAnsi="Arial" w:cs="Arial"/>
          <w:b/>
          <w:bCs/>
        </w:rPr>
      </w:pPr>
      <w:r>
        <w:rPr>
          <w:rFonts w:ascii="Arial" w:hAnsi="Arial" w:cs="Arial"/>
        </w:rPr>
        <w:br w:type="page"/>
      </w:r>
      <w:r>
        <w:rPr>
          <w:rFonts w:ascii="Arial" w:hAnsi="Arial" w:cs="Arial"/>
          <w:b/>
          <w:bCs/>
        </w:rPr>
        <w:lastRenderedPageBreak/>
        <w:t>INDICE</w:t>
      </w:r>
    </w:p>
    <w:p w:rsidR="00E02C27" w:rsidRDefault="00E02C27">
      <w:pPr>
        <w:spacing w:line="360" w:lineRule="auto"/>
        <w:ind w:left="1418" w:hanging="545"/>
        <w:jc w:val="center"/>
        <w:rPr>
          <w:rFonts w:ascii="Arial" w:hAnsi="Arial" w:cs="Arial"/>
          <w:b/>
          <w:bCs/>
          <w:snapToGrid w:val="0"/>
        </w:rPr>
      </w:pPr>
    </w:p>
    <w:p w:rsidR="00F24205" w:rsidRDefault="00E02C27">
      <w:pPr>
        <w:pStyle w:val="TDC1"/>
        <w:rPr>
          <w:rFonts w:asciiTheme="minorHAnsi" w:eastAsiaTheme="minorEastAsia" w:hAnsiTheme="minorHAnsi" w:cstheme="minorBidi"/>
          <w:b w:val="0"/>
          <w:i w:val="0"/>
          <w:caps w:val="0"/>
          <w:szCs w:val="22"/>
        </w:rPr>
      </w:pPr>
      <w:r>
        <w:rPr>
          <w:rFonts w:ascii="Arial" w:hAnsi="Arial" w:cs="Arial"/>
          <w:snapToGrid w:val="0"/>
        </w:rPr>
        <w:fldChar w:fldCharType="begin"/>
      </w:r>
      <w:r>
        <w:rPr>
          <w:rFonts w:ascii="Arial" w:hAnsi="Arial" w:cs="Arial"/>
          <w:snapToGrid w:val="0"/>
        </w:rPr>
        <w:instrText xml:space="preserve"> TOC \o "1-4" \h \z </w:instrText>
      </w:r>
      <w:r>
        <w:rPr>
          <w:rFonts w:ascii="Arial" w:hAnsi="Arial" w:cs="Arial"/>
          <w:snapToGrid w:val="0"/>
        </w:rPr>
        <w:fldChar w:fldCharType="separate"/>
      </w:r>
      <w:hyperlink w:anchor="_Toc444784420" w:history="1">
        <w:r w:rsidR="00F24205" w:rsidRPr="00671F89">
          <w:rPr>
            <w:rStyle w:val="Hipervnculo"/>
          </w:rPr>
          <w:t>0</w:t>
        </w:r>
        <w:r w:rsidR="00F24205">
          <w:rPr>
            <w:rFonts w:asciiTheme="minorHAnsi" w:eastAsiaTheme="minorEastAsia" w:hAnsiTheme="minorHAnsi" w:cstheme="minorBidi"/>
            <w:b w:val="0"/>
            <w:i w:val="0"/>
            <w:caps w:val="0"/>
            <w:szCs w:val="22"/>
          </w:rPr>
          <w:tab/>
        </w:r>
        <w:r w:rsidR="00F24205" w:rsidRPr="00671F89">
          <w:rPr>
            <w:rStyle w:val="Hipervnculo"/>
          </w:rPr>
          <w:t>DESCRIPCIÓN BÁSICA DEL PRODUCTO/SERVICIO</w:t>
        </w:r>
        <w:r w:rsidR="00F24205">
          <w:rPr>
            <w:webHidden/>
          </w:rPr>
          <w:tab/>
        </w:r>
        <w:r w:rsidR="00F24205">
          <w:rPr>
            <w:webHidden/>
          </w:rPr>
          <w:fldChar w:fldCharType="begin"/>
        </w:r>
        <w:r w:rsidR="00F24205">
          <w:rPr>
            <w:webHidden/>
          </w:rPr>
          <w:instrText xml:space="preserve"> PAGEREF _Toc444784420 \h </w:instrText>
        </w:r>
        <w:r w:rsidR="00F24205">
          <w:rPr>
            <w:webHidden/>
          </w:rPr>
        </w:r>
        <w:r w:rsidR="00F24205">
          <w:rPr>
            <w:webHidden/>
          </w:rPr>
          <w:fldChar w:fldCharType="separate"/>
        </w:r>
        <w:r w:rsidR="00216DAF">
          <w:rPr>
            <w:webHidden/>
          </w:rPr>
          <w:t>7</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1" w:history="1">
        <w:r w:rsidR="00F24205" w:rsidRPr="00671F89">
          <w:rPr>
            <w:rStyle w:val="Hipervnculo"/>
          </w:rPr>
          <w:t>0.1</w:t>
        </w:r>
        <w:r w:rsidR="00F24205">
          <w:rPr>
            <w:rFonts w:asciiTheme="minorHAnsi" w:eastAsiaTheme="minorEastAsia" w:hAnsiTheme="minorHAnsi" w:cstheme="minorBidi"/>
            <w:smallCaps w:val="0"/>
            <w:szCs w:val="22"/>
          </w:rPr>
          <w:tab/>
        </w:r>
        <w:r w:rsidR="00F24205" w:rsidRPr="00671F89">
          <w:rPr>
            <w:rStyle w:val="Hipervnculo"/>
          </w:rPr>
          <w:t>Líneas maestras Comerciales del servicio</w:t>
        </w:r>
        <w:r w:rsidR="00F24205">
          <w:rPr>
            <w:webHidden/>
          </w:rPr>
          <w:tab/>
        </w:r>
        <w:r w:rsidR="00F24205">
          <w:rPr>
            <w:webHidden/>
          </w:rPr>
          <w:fldChar w:fldCharType="begin"/>
        </w:r>
        <w:r w:rsidR="00F24205">
          <w:rPr>
            <w:webHidden/>
          </w:rPr>
          <w:instrText xml:space="preserve"> PAGEREF _Toc444784421 \h </w:instrText>
        </w:r>
        <w:r w:rsidR="00F24205">
          <w:rPr>
            <w:webHidden/>
          </w:rPr>
        </w:r>
        <w:r w:rsidR="00F24205">
          <w:rPr>
            <w:webHidden/>
          </w:rPr>
          <w:fldChar w:fldCharType="separate"/>
        </w:r>
        <w:r w:rsidR="00216DAF">
          <w:rPr>
            <w:webHidden/>
          </w:rPr>
          <w:t>7</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2" w:history="1">
        <w:r w:rsidR="00F24205" w:rsidRPr="00671F89">
          <w:rPr>
            <w:rStyle w:val="Hipervnculo"/>
          </w:rPr>
          <w:t>0.2</w:t>
        </w:r>
        <w:r w:rsidR="00F24205">
          <w:rPr>
            <w:rFonts w:asciiTheme="minorHAnsi" w:eastAsiaTheme="minorEastAsia" w:hAnsiTheme="minorHAnsi" w:cstheme="minorBidi"/>
            <w:smallCaps w:val="0"/>
            <w:szCs w:val="22"/>
          </w:rPr>
          <w:tab/>
        </w:r>
        <w:r w:rsidR="00F24205" w:rsidRPr="00671F89">
          <w:rPr>
            <w:rStyle w:val="Hipervnculo"/>
          </w:rPr>
          <w:t>Vocabulario Específico</w:t>
        </w:r>
        <w:r w:rsidR="00F24205">
          <w:rPr>
            <w:webHidden/>
          </w:rPr>
          <w:tab/>
        </w:r>
        <w:r w:rsidR="00F24205">
          <w:rPr>
            <w:webHidden/>
          </w:rPr>
          <w:fldChar w:fldCharType="begin"/>
        </w:r>
        <w:r w:rsidR="00F24205">
          <w:rPr>
            <w:webHidden/>
          </w:rPr>
          <w:instrText xml:space="preserve"> PAGEREF _Toc444784422 \h </w:instrText>
        </w:r>
        <w:r w:rsidR="00F24205">
          <w:rPr>
            <w:webHidden/>
          </w:rPr>
        </w:r>
        <w:r w:rsidR="00F24205">
          <w:rPr>
            <w:webHidden/>
          </w:rPr>
          <w:fldChar w:fldCharType="separate"/>
        </w:r>
        <w:r w:rsidR="00216DAF">
          <w:rPr>
            <w:webHidden/>
          </w:rPr>
          <w:t>8</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3" w:history="1">
        <w:r w:rsidR="00F24205" w:rsidRPr="00671F89">
          <w:rPr>
            <w:rStyle w:val="Hipervnculo"/>
          </w:rPr>
          <w:t>0.3</w:t>
        </w:r>
        <w:r w:rsidR="00F24205">
          <w:rPr>
            <w:rFonts w:asciiTheme="minorHAnsi" w:eastAsiaTheme="minorEastAsia" w:hAnsiTheme="minorHAnsi" w:cstheme="minorBidi"/>
            <w:smallCaps w:val="0"/>
            <w:szCs w:val="22"/>
          </w:rPr>
          <w:tab/>
        </w:r>
        <w:r w:rsidR="00F24205" w:rsidRPr="00671F89">
          <w:rPr>
            <w:rStyle w:val="Hipervnculo"/>
          </w:rPr>
          <w:t>Servicios Soporte para el NEBA</w:t>
        </w:r>
        <w:r w:rsidR="00F24205">
          <w:rPr>
            <w:webHidden/>
          </w:rPr>
          <w:tab/>
        </w:r>
        <w:r w:rsidR="00F24205">
          <w:rPr>
            <w:webHidden/>
          </w:rPr>
          <w:fldChar w:fldCharType="begin"/>
        </w:r>
        <w:r w:rsidR="00F24205">
          <w:rPr>
            <w:webHidden/>
          </w:rPr>
          <w:instrText xml:space="preserve"> PAGEREF _Toc444784423 \h </w:instrText>
        </w:r>
        <w:r w:rsidR="00F24205">
          <w:rPr>
            <w:webHidden/>
          </w:rPr>
        </w:r>
        <w:r w:rsidR="00F24205">
          <w:rPr>
            <w:webHidden/>
          </w:rPr>
          <w:fldChar w:fldCharType="separate"/>
        </w:r>
        <w:r w:rsidR="00216DAF">
          <w:rPr>
            <w:webHidden/>
          </w:rPr>
          <w:t>9</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4" w:history="1">
        <w:r w:rsidR="00F24205" w:rsidRPr="00671F89">
          <w:rPr>
            <w:rStyle w:val="Hipervnculo"/>
          </w:rPr>
          <w:t>0.4</w:t>
        </w:r>
        <w:r w:rsidR="00F24205">
          <w:rPr>
            <w:rFonts w:asciiTheme="minorHAnsi" w:eastAsiaTheme="minorEastAsia" w:hAnsiTheme="minorHAnsi" w:cstheme="minorBidi"/>
            <w:smallCaps w:val="0"/>
            <w:szCs w:val="22"/>
          </w:rPr>
          <w:tab/>
        </w:r>
        <w:r w:rsidR="00F24205" w:rsidRPr="00671F89">
          <w:rPr>
            <w:rStyle w:val="Hipervnculo"/>
          </w:rPr>
          <w:t>Opciones de comercialización del servicio</w:t>
        </w:r>
        <w:r w:rsidR="00F24205">
          <w:rPr>
            <w:webHidden/>
          </w:rPr>
          <w:tab/>
        </w:r>
        <w:r w:rsidR="00F24205">
          <w:rPr>
            <w:webHidden/>
          </w:rPr>
          <w:fldChar w:fldCharType="begin"/>
        </w:r>
        <w:r w:rsidR="00F24205">
          <w:rPr>
            <w:webHidden/>
          </w:rPr>
          <w:instrText xml:space="preserve"> PAGEREF _Toc444784424 \h </w:instrText>
        </w:r>
        <w:r w:rsidR="00F24205">
          <w:rPr>
            <w:webHidden/>
          </w:rPr>
        </w:r>
        <w:r w:rsidR="00F24205">
          <w:rPr>
            <w:webHidden/>
          </w:rPr>
          <w:fldChar w:fldCharType="separate"/>
        </w:r>
        <w:r w:rsidR="00216DAF">
          <w:rPr>
            <w:webHidden/>
          </w:rPr>
          <w:t>9</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5" w:history="1">
        <w:r w:rsidR="00F24205" w:rsidRPr="00671F89">
          <w:rPr>
            <w:rStyle w:val="Hipervnculo"/>
          </w:rPr>
          <w:t>0.5</w:t>
        </w:r>
        <w:r w:rsidR="00F24205">
          <w:rPr>
            <w:rFonts w:asciiTheme="minorHAnsi" w:eastAsiaTheme="minorEastAsia" w:hAnsiTheme="minorHAnsi" w:cstheme="minorBidi"/>
            <w:smallCaps w:val="0"/>
            <w:szCs w:val="22"/>
          </w:rPr>
          <w:tab/>
        </w:r>
        <w:r w:rsidR="00F24205" w:rsidRPr="00671F89">
          <w:rPr>
            <w:rStyle w:val="Hipervnculo"/>
          </w:rPr>
          <w:t>Calidades del servicio</w:t>
        </w:r>
        <w:r w:rsidR="00F24205">
          <w:rPr>
            <w:webHidden/>
          </w:rPr>
          <w:tab/>
        </w:r>
        <w:r w:rsidR="00F24205">
          <w:rPr>
            <w:webHidden/>
          </w:rPr>
          <w:fldChar w:fldCharType="begin"/>
        </w:r>
        <w:r w:rsidR="00F24205">
          <w:rPr>
            <w:webHidden/>
          </w:rPr>
          <w:instrText xml:space="preserve"> PAGEREF _Toc444784425 \h </w:instrText>
        </w:r>
        <w:r w:rsidR="00F24205">
          <w:rPr>
            <w:webHidden/>
          </w:rPr>
        </w:r>
        <w:r w:rsidR="00F24205">
          <w:rPr>
            <w:webHidden/>
          </w:rPr>
          <w:fldChar w:fldCharType="separate"/>
        </w:r>
        <w:r w:rsidR="00216DAF">
          <w:rPr>
            <w:webHidden/>
          </w:rPr>
          <w:t>11</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6" w:history="1">
        <w:r w:rsidR="00F24205" w:rsidRPr="00671F89">
          <w:rPr>
            <w:rStyle w:val="Hipervnculo"/>
          </w:rPr>
          <w:t>0.6</w:t>
        </w:r>
        <w:r w:rsidR="00F24205">
          <w:rPr>
            <w:rFonts w:asciiTheme="minorHAnsi" w:eastAsiaTheme="minorEastAsia" w:hAnsiTheme="minorHAnsi" w:cstheme="minorBidi"/>
            <w:smallCaps w:val="0"/>
            <w:szCs w:val="22"/>
          </w:rPr>
          <w:tab/>
        </w:r>
        <w:r w:rsidR="00F24205" w:rsidRPr="00671F89">
          <w:rPr>
            <w:rStyle w:val="Hipervnculo"/>
          </w:rPr>
          <w:t>Cobertura</w:t>
        </w:r>
        <w:r w:rsidR="00F24205">
          <w:rPr>
            <w:webHidden/>
          </w:rPr>
          <w:tab/>
        </w:r>
        <w:r w:rsidR="00F24205">
          <w:rPr>
            <w:webHidden/>
          </w:rPr>
          <w:fldChar w:fldCharType="begin"/>
        </w:r>
        <w:r w:rsidR="00F24205">
          <w:rPr>
            <w:webHidden/>
          </w:rPr>
          <w:instrText xml:space="preserve"> PAGEREF _Toc444784426 \h </w:instrText>
        </w:r>
        <w:r w:rsidR="00F24205">
          <w:rPr>
            <w:webHidden/>
          </w:rPr>
        </w:r>
        <w:r w:rsidR="00F24205">
          <w:rPr>
            <w:webHidden/>
          </w:rPr>
          <w:fldChar w:fldCharType="separate"/>
        </w:r>
        <w:r w:rsidR="00216DAF">
          <w:rPr>
            <w:webHidden/>
          </w:rPr>
          <w:t>12</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27" w:history="1">
        <w:r w:rsidR="00F24205" w:rsidRPr="00671F89">
          <w:rPr>
            <w:rStyle w:val="Hipervnculo"/>
          </w:rPr>
          <w:t>1</w:t>
        </w:r>
        <w:r w:rsidR="00F24205">
          <w:rPr>
            <w:rFonts w:asciiTheme="minorHAnsi" w:eastAsiaTheme="minorEastAsia" w:hAnsiTheme="minorHAnsi" w:cstheme="minorBidi"/>
            <w:b w:val="0"/>
            <w:i w:val="0"/>
            <w:caps w:val="0"/>
            <w:szCs w:val="22"/>
          </w:rPr>
          <w:tab/>
        </w:r>
        <w:r w:rsidR="00F24205" w:rsidRPr="00671F89">
          <w:rPr>
            <w:rStyle w:val="Hipervnculo"/>
          </w:rPr>
          <w:t>RED DE ACCESO</w:t>
        </w:r>
        <w:r w:rsidR="00F24205">
          <w:rPr>
            <w:webHidden/>
          </w:rPr>
          <w:tab/>
        </w:r>
        <w:r w:rsidR="00F24205">
          <w:rPr>
            <w:webHidden/>
          </w:rPr>
          <w:fldChar w:fldCharType="begin"/>
        </w:r>
        <w:r w:rsidR="00F24205">
          <w:rPr>
            <w:webHidden/>
          </w:rPr>
          <w:instrText xml:space="preserve"> PAGEREF _Toc444784427 \h </w:instrText>
        </w:r>
        <w:r w:rsidR="00F24205">
          <w:rPr>
            <w:webHidden/>
          </w:rPr>
        </w:r>
        <w:r w:rsidR="00F24205">
          <w:rPr>
            <w:webHidden/>
          </w:rPr>
          <w:fldChar w:fldCharType="separate"/>
        </w:r>
        <w:r w:rsidR="00216DAF">
          <w:rPr>
            <w:webHidden/>
          </w:rPr>
          <w:t>13</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28" w:history="1">
        <w:r w:rsidR="00F24205" w:rsidRPr="00671F89">
          <w:rPr>
            <w:rStyle w:val="Hipervnculo"/>
          </w:rPr>
          <w:t>1.1</w:t>
        </w:r>
        <w:r w:rsidR="00F24205">
          <w:rPr>
            <w:rFonts w:asciiTheme="minorHAnsi" w:eastAsiaTheme="minorEastAsia" w:hAnsiTheme="minorHAnsi" w:cstheme="minorBidi"/>
            <w:smallCaps w:val="0"/>
            <w:szCs w:val="22"/>
          </w:rPr>
          <w:tab/>
        </w:r>
        <w:r w:rsidR="00F24205" w:rsidRPr="00671F89">
          <w:rPr>
            <w:rStyle w:val="Hipervnculo"/>
          </w:rPr>
          <w:t>Interfaz router de cliente - Nodo de Acceso</w:t>
        </w:r>
        <w:r w:rsidR="00F24205">
          <w:rPr>
            <w:webHidden/>
          </w:rPr>
          <w:tab/>
        </w:r>
        <w:r w:rsidR="00F24205">
          <w:rPr>
            <w:webHidden/>
          </w:rPr>
          <w:fldChar w:fldCharType="begin"/>
        </w:r>
        <w:r w:rsidR="00F24205">
          <w:rPr>
            <w:webHidden/>
          </w:rPr>
          <w:instrText xml:space="preserve"> PAGEREF _Toc444784428 \h </w:instrText>
        </w:r>
        <w:r w:rsidR="00F24205">
          <w:rPr>
            <w:webHidden/>
          </w:rPr>
        </w:r>
        <w:r w:rsidR="00F24205">
          <w:rPr>
            <w:webHidden/>
          </w:rPr>
          <w:fldChar w:fldCharType="separate"/>
        </w:r>
        <w:r w:rsidR="00216DAF">
          <w:rPr>
            <w:webHidden/>
          </w:rPr>
          <w:t>13</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29" w:history="1">
        <w:r w:rsidR="00F24205" w:rsidRPr="00671F89">
          <w:rPr>
            <w:rStyle w:val="Hipervnculo"/>
          </w:rPr>
          <w:t>Tecnología xDSL: Interfaz router de cliente (CPE) – Nodo de Acceso (DSLAM)</w:t>
        </w:r>
        <w:r w:rsidR="00F24205">
          <w:rPr>
            <w:webHidden/>
          </w:rPr>
          <w:tab/>
        </w:r>
        <w:r w:rsidR="00F24205">
          <w:rPr>
            <w:webHidden/>
          </w:rPr>
          <w:fldChar w:fldCharType="begin"/>
        </w:r>
        <w:r w:rsidR="00F24205">
          <w:rPr>
            <w:webHidden/>
          </w:rPr>
          <w:instrText xml:space="preserve"> PAGEREF _Toc444784429 \h </w:instrText>
        </w:r>
        <w:r w:rsidR="00F24205">
          <w:rPr>
            <w:webHidden/>
          </w:rPr>
        </w:r>
        <w:r w:rsidR="00F24205">
          <w:rPr>
            <w:webHidden/>
          </w:rPr>
          <w:fldChar w:fldCharType="separate"/>
        </w:r>
        <w:r w:rsidR="00216DAF">
          <w:rPr>
            <w:webHidden/>
          </w:rPr>
          <w:t>13</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0" w:history="1">
        <w:r w:rsidR="00F24205" w:rsidRPr="00671F89">
          <w:rPr>
            <w:rStyle w:val="Hipervnculo"/>
          </w:rPr>
          <w:t>Tecnología GPON: Interfaz router de cliente (CPE) -Nodo de Acceso (OLT)</w:t>
        </w:r>
        <w:r w:rsidR="00F24205">
          <w:rPr>
            <w:webHidden/>
          </w:rPr>
          <w:tab/>
        </w:r>
        <w:r w:rsidR="00F24205">
          <w:rPr>
            <w:webHidden/>
          </w:rPr>
          <w:fldChar w:fldCharType="begin"/>
        </w:r>
        <w:r w:rsidR="00F24205">
          <w:rPr>
            <w:webHidden/>
          </w:rPr>
          <w:instrText xml:space="preserve"> PAGEREF _Toc444784430 \h </w:instrText>
        </w:r>
        <w:r w:rsidR="00F24205">
          <w:rPr>
            <w:webHidden/>
          </w:rPr>
        </w:r>
        <w:r w:rsidR="00F24205">
          <w:rPr>
            <w:webHidden/>
          </w:rPr>
          <w:fldChar w:fldCharType="separate"/>
        </w:r>
        <w:r w:rsidR="00216DAF">
          <w:rPr>
            <w:webHidden/>
          </w:rPr>
          <w:t>15</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31" w:history="1">
        <w:r w:rsidR="00F24205" w:rsidRPr="00671F89">
          <w:rPr>
            <w:rStyle w:val="Hipervnculo"/>
          </w:rPr>
          <w:t>1.2</w:t>
        </w:r>
        <w:r w:rsidR="00F24205">
          <w:rPr>
            <w:rFonts w:asciiTheme="minorHAnsi" w:eastAsiaTheme="minorEastAsia" w:hAnsiTheme="minorHAnsi" w:cstheme="minorBidi"/>
            <w:smallCaps w:val="0"/>
            <w:szCs w:val="22"/>
          </w:rPr>
          <w:tab/>
        </w:r>
        <w:r w:rsidR="00F24205" w:rsidRPr="00671F89">
          <w:rPr>
            <w:rStyle w:val="Hipervnculo"/>
          </w:rPr>
          <w:t>Número de VLANes, VP/VC por usuario</w:t>
        </w:r>
        <w:r w:rsidR="00F24205">
          <w:rPr>
            <w:webHidden/>
          </w:rPr>
          <w:tab/>
        </w:r>
        <w:r w:rsidR="00F24205">
          <w:rPr>
            <w:webHidden/>
          </w:rPr>
          <w:fldChar w:fldCharType="begin"/>
        </w:r>
        <w:r w:rsidR="00F24205">
          <w:rPr>
            <w:webHidden/>
          </w:rPr>
          <w:instrText xml:space="preserve"> PAGEREF _Toc444784431 \h </w:instrText>
        </w:r>
        <w:r w:rsidR="00F24205">
          <w:rPr>
            <w:webHidden/>
          </w:rPr>
        </w:r>
        <w:r w:rsidR="00F24205">
          <w:rPr>
            <w:webHidden/>
          </w:rPr>
          <w:fldChar w:fldCharType="separate"/>
        </w:r>
        <w:r w:rsidR="00216DAF">
          <w:rPr>
            <w:webHidden/>
          </w:rPr>
          <w:t>15</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32" w:history="1">
        <w:r w:rsidR="00F24205" w:rsidRPr="00671F89">
          <w:rPr>
            <w:rStyle w:val="Hipervnculo"/>
          </w:rPr>
          <w:t>1.3</w:t>
        </w:r>
        <w:r w:rsidR="00F24205">
          <w:rPr>
            <w:rFonts w:asciiTheme="minorHAnsi" w:eastAsiaTheme="minorEastAsia" w:hAnsiTheme="minorHAnsi" w:cstheme="minorBidi"/>
            <w:smallCaps w:val="0"/>
            <w:szCs w:val="22"/>
          </w:rPr>
          <w:tab/>
        </w:r>
        <w:r w:rsidR="00F24205" w:rsidRPr="00671F89">
          <w:rPr>
            <w:rStyle w:val="Hipervnculo"/>
          </w:rPr>
          <w:t>Modalidades de Servicio: velocidades ascendente/descendente y combinación de servicios en el mismo acceso</w:t>
        </w:r>
        <w:r w:rsidR="00F24205">
          <w:rPr>
            <w:webHidden/>
          </w:rPr>
          <w:tab/>
        </w:r>
        <w:r w:rsidR="00F24205">
          <w:rPr>
            <w:webHidden/>
          </w:rPr>
          <w:fldChar w:fldCharType="begin"/>
        </w:r>
        <w:r w:rsidR="00F24205">
          <w:rPr>
            <w:webHidden/>
          </w:rPr>
          <w:instrText xml:space="preserve"> PAGEREF _Toc444784432 \h </w:instrText>
        </w:r>
        <w:r w:rsidR="00F24205">
          <w:rPr>
            <w:webHidden/>
          </w:rPr>
        </w:r>
        <w:r w:rsidR="00F24205">
          <w:rPr>
            <w:webHidden/>
          </w:rPr>
          <w:fldChar w:fldCharType="separate"/>
        </w:r>
        <w:r w:rsidR="00216DAF">
          <w:rPr>
            <w:webHidden/>
          </w:rPr>
          <w:t>16</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3" w:history="1">
        <w:r w:rsidR="00F24205" w:rsidRPr="00671F89">
          <w:rPr>
            <w:rStyle w:val="Hipervnculo"/>
          </w:rPr>
          <w:t>Perfiles comerciales (de contratación) sobre  tecnología ADSL2+</w:t>
        </w:r>
        <w:r w:rsidR="00F24205">
          <w:rPr>
            <w:webHidden/>
          </w:rPr>
          <w:tab/>
        </w:r>
        <w:r w:rsidR="00F24205">
          <w:rPr>
            <w:webHidden/>
          </w:rPr>
          <w:fldChar w:fldCharType="begin"/>
        </w:r>
        <w:r w:rsidR="00F24205">
          <w:rPr>
            <w:webHidden/>
          </w:rPr>
          <w:instrText xml:space="preserve"> PAGEREF _Toc444784433 \h </w:instrText>
        </w:r>
        <w:r w:rsidR="00F24205">
          <w:rPr>
            <w:webHidden/>
          </w:rPr>
        </w:r>
        <w:r w:rsidR="00F24205">
          <w:rPr>
            <w:webHidden/>
          </w:rPr>
          <w:fldChar w:fldCharType="separate"/>
        </w:r>
        <w:r w:rsidR="00216DAF">
          <w:rPr>
            <w:webHidden/>
          </w:rPr>
          <w:t>17</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4" w:history="1">
        <w:r w:rsidR="00F24205" w:rsidRPr="00671F89">
          <w:rPr>
            <w:rStyle w:val="Hipervnculo"/>
          </w:rPr>
          <w:t>Perfiles comerciales tecnología VDSL2</w:t>
        </w:r>
        <w:r w:rsidR="00F24205">
          <w:rPr>
            <w:webHidden/>
          </w:rPr>
          <w:tab/>
        </w:r>
        <w:r w:rsidR="00F24205">
          <w:rPr>
            <w:webHidden/>
          </w:rPr>
          <w:fldChar w:fldCharType="begin"/>
        </w:r>
        <w:r w:rsidR="00F24205">
          <w:rPr>
            <w:webHidden/>
          </w:rPr>
          <w:instrText xml:space="preserve"> PAGEREF _Toc444784434 \h </w:instrText>
        </w:r>
        <w:r w:rsidR="00F24205">
          <w:rPr>
            <w:webHidden/>
          </w:rPr>
        </w:r>
        <w:r w:rsidR="00F24205">
          <w:rPr>
            <w:webHidden/>
          </w:rPr>
          <w:fldChar w:fldCharType="separate"/>
        </w:r>
        <w:r w:rsidR="00216DAF">
          <w:rPr>
            <w:webHidden/>
          </w:rPr>
          <w:t>17</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5" w:history="1">
        <w:r w:rsidR="00F24205" w:rsidRPr="00671F89">
          <w:rPr>
            <w:rStyle w:val="Hipervnculo"/>
          </w:rPr>
          <w:t>Perfiles comerciales tecnología GPON</w:t>
        </w:r>
        <w:r w:rsidR="00F24205">
          <w:rPr>
            <w:webHidden/>
          </w:rPr>
          <w:tab/>
        </w:r>
        <w:r w:rsidR="00F24205">
          <w:rPr>
            <w:webHidden/>
          </w:rPr>
          <w:fldChar w:fldCharType="begin"/>
        </w:r>
        <w:r w:rsidR="00F24205">
          <w:rPr>
            <w:webHidden/>
          </w:rPr>
          <w:instrText xml:space="preserve"> PAGEREF _Toc444784435 \h </w:instrText>
        </w:r>
        <w:r w:rsidR="00F24205">
          <w:rPr>
            <w:webHidden/>
          </w:rPr>
        </w:r>
        <w:r w:rsidR="00F24205">
          <w:rPr>
            <w:webHidden/>
          </w:rPr>
          <w:fldChar w:fldCharType="separate"/>
        </w:r>
        <w:r w:rsidR="00216DAF">
          <w:rPr>
            <w:webHidden/>
          </w:rPr>
          <w:t>18</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6" w:history="1">
        <w:r w:rsidR="00F24205" w:rsidRPr="00671F89">
          <w:rPr>
            <w:rStyle w:val="Hipervnculo"/>
          </w:rPr>
          <w:t>Creación de nuevos perfiles/servicios NEBA</w:t>
        </w:r>
        <w:r w:rsidR="00F24205">
          <w:rPr>
            <w:webHidden/>
          </w:rPr>
          <w:tab/>
        </w:r>
        <w:r w:rsidR="00F24205">
          <w:rPr>
            <w:webHidden/>
          </w:rPr>
          <w:fldChar w:fldCharType="begin"/>
        </w:r>
        <w:r w:rsidR="00F24205">
          <w:rPr>
            <w:webHidden/>
          </w:rPr>
          <w:instrText xml:space="preserve"> PAGEREF _Toc444784436 \h </w:instrText>
        </w:r>
        <w:r w:rsidR="00F24205">
          <w:rPr>
            <w:webHidden/>
          </w:rPr>
        </w:r>
        <w:r w:rsidR="00F24205">
          <w:rPr>
            <w:webHidden/>
          </w:rPr>
          <w:fldChar w:fldCharType="separate"/>
        </w:r>
        <w:r w:rsidR="00216DAF">
          <w:rPr>
            <w:webHidden/>
          </w:rPr>
          <w:t>18</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37" w:history="1">
        <w:r w:rsidR="00F24205" w:rsidRPr="00671F89">
          <w:rPr>
            <w:rStyle w:val="Hipervnculo"/>
          </w:rPr>
          <w:t>1.4</w:t>
        </w:r>
        <w:r w:rsidR="00F24205">
          <w:rPr>
            <w:rFonts w:asciiTheme="minorHAnsi" w:eastAsiaTheme="minorEastAsia" w:hAnsiTheme="minorHAnsi" w:cstheme="minorBidi"/>
            <w:smallCaps w:val="0"/>
            <w:szCs w:val="22"/>
          </w:rPr>
          <w:tab/>
        </w:r>
        <w:r w:rsidR="00F24205" w:rsidRPr="00671F89">
          <w:rPr>
            <w:rStyle w:val="Hipervnculo"/>
          </w:rPr>
          <w:t>Mecanismos de control</w:t>
        </w:r>
        <w:r w:rsidR="00F24205">
          <w:rPr>
            <w:webHidden/>
          </w:rPr>
          <w:tab/>
        </w:r>
        <w:r w:rsidR="00F24205">
          <w:rPr>
            <w:webHidden/>
          </w:rPr>
          <w:fldChar w:fldCharType="begin"/>
        </w:r>
        <w:r w:rsidR="00F24205">
          <w:rPr>
            <w:webHidden/>
          </w:rPr>
          <w:instrText xml:space="preserve"> PAGEREF _Toc444784437 \h </w:instrText>
        </w:r>
        <w:r w:rsidR="00F24205">
          <w:rPr>
            <w:webHidden/>
          </w:rPr>
        </w:r>
        <w:r w:rsidR="00F24205">
          <w:rPr>
            <w:webHidden/>
          </w:rPr>
          <w:fldChar w:fldCharType="separate"/>
        </w:r>
        <w:r w:rsidR="00216DAF">
          <w:rPr>
            <w:webHidden/>
          </w:rPr>
          <w:t>19</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8" w:history="1">
        <w:r w:rsidR="00F24205" w:rsidRPr="00671F89">
          <w:rPr>
            <w:rStyle w:val="Hipervnculo"/>
          </w:rPr>
          <w:t>Policy  (sentido ascendente)</w:t>
        </w:r>
        <w:r w:rsidR="00F24205">
          <w:rPr>
            <w:webHidden/>
          </w:rPr>
          <w:tab/>
        </w:r>
        <w:r w:rsidR="00F24205">
          <w:rPr>
            <w:webHidden/>
          </w:rPr>
          <w:fldChar w:fldCharType="begin"/>
        </w:r>
        <w:r w:rsidR="00F24205">
          <w:rPr>
            <w:webHidden/>
          </w:rPr>
          <w:instrText xml:space="preserve"> PAGEREF _Toc444784438 \h </w:instrText>
        </w:r>
        <w:r w:rsidR="00F24205">
          <w:rPr>
            <w:webHidden/>
          </w:rPr>
        </w:r>
        <w:r w:rsidR="00F24205">
          <w:rPr>
            <w:webHidden/>
          </w:rPr>
          <w:fldChar w:fldCharType="separate"/>
        </w:r>
        <w:r w:rsidR="00216DAF">
          <w:rPr>
            <w:webHidden/>
          </w:rPr>
          <w:t>19</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39" w:history="1">
        <w:r w:rsidR="00F24205" w:rsidRPr="00671F89">
          <w:rPr>
            <w:rStyle w:val="Hipervnculo"/>
          </w:rPr>
          <w:t>Priorización (sentido descendente)</w:t>
        </w:r>
        <w:r w:rsidR="00F24205">
          <w:rPr>
            <w:webHidden/>
          </w:rPr>
          <w:tab/>
        </w:r>
        <w:r w:rsidR="00F24205">
          <w:rPr>
            <w:webHidden/>
          </w:rPr>
          <w:fldChar w:fldCharType="begin"/>
        </w:r>
        <w:r w:rsidR="00F24205">
          <w:rPr>
            <w:webHidden/>
          </w:rPr>
          <w:instrText xml:space="preserve"> PAGEREF _Toc444784439 \h </w:instrText>
        </w:r>
        <w:r w:rsidR="00F24205">
          <w:rPr>
            <w:webHidden/>
          </w:rPr>
        </w:r>
        <w:r w:rsidR="00F24205">
          <w:rPr>
            <w:webHidden/>
          </w:rPr>
          <w:fldChar w:fldCharType="separate"/>
        </w:r>
        <w:r w:rsidR="00216DAF">
          <w:rPr>
            <w:webHidden/>
          </w:rPr>
          <w:t>19</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40" w:history="1">
        <w:r w:rsidR="00F24205" w:rsidRPr="00671F89">
          <w:rPr>
            <w:rStyle w:val="Hipervnculo"/>
          </w:rPr>
          <w:t>Identificación de cliente en Red: QinQ</w:t>
        </w:r>
        <w:r w:rsidR="00F24205">
          <w:rPr>
            <w:webHidden/>
          </w:rPr>
          <w:tab/>
        </w:r>
        <w:r w:rsidR="00F24205">
          <w:rPr>
            <w:webHidden/>
          </w:rPr>
          <w:fldChar w:fldCharType="begin"/>
        </w:r>
        <w:r w:rsidR="00F24205">
          <w:rPr>
            <w:webHidden/>
          </w:rPr>
          <w:instrText xml:space="preserve"> PAGEREF _Toc444784440 \h </w:instrText>
        </w:r>
        <w:r w:rsidR="00F24205">
          <w:rPr>
            <w:webHidden/>
          </w:rPr>
        </w:r>
        <w:r w:rsidR="00F24205">
          <w:rPr>
            <w:webHidden/>
          </w:rPr>
          <w:fldChar w:fldCharType="separate"/>
        </w:r>
        <w:r w:rsidR="00216DAF">
          <w:rPr>
            <w:webHidden/>
          </w:rPr>
          <w:t>19</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1" w:history="1">
        <w:r w:rsidR="00F24205" w:rsidRPr="00671F89">
          <w:rPr>
            <w:rStyle w:val="Hipervnculo"/>
          </w:rPr>
          <w:t>1.5</w:t>
        </w:r>
        <w:r w:rsidR="00F24205">
          <w:rPr>
            <w:rFonts w:asciiTheme="minorHAnsi" w:eastAsiaTheme="minorEastAsia" w:hAnsiTheme="minorHAnsi" w:cstheme="minorBidi"/>
            <w:smallCaps w:val="0"/>
            <w:szCs w:val="22"/>
          </w:rPr>
          <w:tab/>
        </w:r>
        <w:r w:rsidR="00F24205" w:rsidRPr="00671F89">
          <w:rPr>
            <w:rStyle w:val="Hipervnculo"/>
          </w:rPr>
          <w:t>Protocolos (IPoE, PPPoE)</w:t>
        </w:r>
        <w:r w:rsidR="00F24205">
          <w:rPr>
            <w:webHidden/>
          </w:rPr>
          <w:tab/>
        </w:r>
        <w:r w:rsidR="00F24205">
          <w:rPr>
            <w:webHidden/>
          </w:rPr>
          <w:fldChar w:fldCharType="begin"/>
        </w:r>
        <w:r w:rsidR="00F24205">
          <w:rPr>
            <w:webHidden/>
          </w:rPr>
          <w:instrText xml:space="preserve"> PAGEREF _Toc444784441 \h </w:instrText>
        </w:r>
        <w:r w:rsidR="00F24205">
          <w:rPr>
            <w:webHidden/>
          </w:rPr>
        </w:r>
        <w:r w:rsidR="00F24205">
          <w:rPr>
            <w:webHidden/>
          </w:rPr>
          <w:fldChar w:fldCharType="separate"/>
        </w:r>
        <w:r w:rsidR="00216DAF">
          <w:rPr>
            <w:webHidden/>
          </w:rPr>
          <w:t>20</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42" w:history="1">
        <w:r w:rsidR="00F24205" w:rsidRPr="00671F89">
          <w:rPr>
            <w:rStyle w:val="Hipervnculo"/>
          </w:rPr>
          <w:t>2</w:t>
        </w:r>
        <w:r w:rsidR="00F24205">
          <w:rPr>
            <w:rFonts w:asciiTheme="minorHAnsi" w:eastAsiaTheme="minorEastAsia" w:hAnsiTheme="minorHAnsi" w:cstheme="minorBidi"/>
            <w:b w:val="0"/>
            <w:i w:val="0"/>
            <w:caps w:val="0"/>
            <w:szCs w:val="22"/>
          </w:rPr>
          <w:tab/>
        </w:r>
        <w:r w:rsidR="00F24205" w:rsidRPr="00671F89">
          <w:rPr>
            <w:rStyle w:val="Hipervnculo"/>
          </w:rPr>
          <w:t>Transporte eN LA REM y PUNTOS DE entrega (PAI-E)</w:t>
        </w:r>
        <w:r w:rsidR="00F24205">
          <w:rPr>
            <w:webHidden/>
          </w:rPr>
          <w:tab/>
        </w:r>
        <w:r w:rsidR="00F24205">
          <w:rPr>
            <w:webHidden/>
          </w:rPr>
          <w:fldChar w:fldCharType="begin"/>
        </w:r>
        <w:r w:rsidR="00F24205">
          <w:rPr>
            <w:webHidden/>
          </w:rPr>
          <w:instrText xml:space="preserve"> PAGEREF _Toc444784442 \h </w:instrText>
        </w:r>
        <w:r w:rsidR="00F24205">
          <w:rPr>
            <w:webHidden/>
          </w:rPr>
        </w:r>
        <w:r w:rsidR="00F24205">
          <w:rPr>
            <w:webHidden/>
          </w:rPr>
          <w:fldChar w:fldCharType="separate"/>
        </w:r>
        <w:r w:rsidR="00216DAF">
          <w:rPr>
            <w:webHidden/>
          </w:rPr>
          <w:t>20</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3" w:history="1">
        <w:r w:rsidR="00F24205" w:rsidRPr="00671F89">
          <w:rPr>
            <w:rStyle w:val="Hipervnculo"/>
          </w:rPr>
          <w:t>2.1</w:t>
        </w:r>
        <w:r w:rsidR="00F24205">
          <w:rPr>
            <w:rFonts w:asciiTheme="minorHAnsi" w:eastAsiaTheme="minorEastAsia" w:hAnsiTheme="minorHAnsi" w:cstheme="minorBidi"/>
            <w:smallCaps w:val="0"/>
            <w:szCs w:val="22"/>
          </w:rPr>
          <w:tab/>
        </w:r>
        <w:r w:rsidR="00F24205" w:rsidRPr="00671F89">
          <w:rPr>
            <w:rStyle w:val="Hipervnculo"/>
          </w:rPr>
          <w:t>Conectividad</w:t>
        </w:r>
        <w:r w:rsidR="00F24205">
          <w:rPr>
            <w:webHidden/>
          </w:rPr>
          <w:tab/>
        </w:r>
        <w:r w:rsidR="00F24205">
          <w:rPr>
            <w:webHidden/>
          </w:rPr>
          <w:fldChar w:fldCharType="begin"/>
        </w:r>
        <w:r w:rsidR="00F24205">
          <w:rPr>
            <w:webHidden/>
          </w:rPr>
          <w:instrText xml:space="preserve"> PAGEREF _Toc444784443 \h </w:instrText>
        </w:r>
        <w:r w:rsidR="00F24205">
          <w:rPr>
            <w:webHidden/>
          </w:rPr>
        </w:r>
        <w:r w:rsidR="00F24205">
          <w:rPr>
            <w:webHidden/>
          </w:rPr>
          <w:fldChar w:fldCharType="separate"/>
        </w:r>
        <w:r w:rsidR="00216DAF">
          <w:rPr>
            <w:webHidden/>
          </w:rPr>
          <w:t>20</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4" w:history="1">
        <w:r w:rsidR="00F24205" w:rsidRPr="00671F89">
          <w:rPr>
            <w:rStyle w:val="Hipervnculo"/>
          </w:rPr>
          <w:t>2.2</w:t>
        </w:r>
        <w:r w:rsidR="00F24205">
          <w:rPr>
            <w:rFonts w:asciiTheme="minorHAnsi" w:eastAsiaTheme="minorEastAsia" w:hAnsiTheme="minorHAnsi" w:cstheme="minorBidi"/>
            <w:smallCaps w:val="0"/>
            <w:szCs w:val="22"/>
          </w:rPr>
          <w:tab/>
        </w:r>
        <w:r w:rsidR="00F24205" w:rsidRPr="00671F89">
          <w:rPr>
            <w:rStyle w:val="Hipervnculo"/>
          </w:rPr>
          <w:t>Control de tráfico (descendente) por Operador.</w:t>
        </w:r>
        <w:r w:rsidR="00F24205">
          <w:rPr>
            <w:webHidden/>
          </w:rPr>
          <w:tab/>
        </w:r>
        <w:r w:rsidR="00F24205">
          <w:rPr>
            <w:webHidden/>
          </w:rPr>
          <w:fldChar w:fldCharType="begin"/>
        </w:r>
        <w:r w:rsidR="00F24205">
          <w:rPr>
            <w:webHidden/>
          </w:rPr>
          <w:instrText xml:space="preserve"> PAGEREF _Toc444784444 \h </w:instrText>
        </w:r>
        <w:r w:rsidR="00F24205">
          <w:rPr>
            <w:webHidden/>
          </w:rPr>
        </w:r>
        <w:r w:rsidR="00F24205">
          <w:rPr>
            <w:webHidden/>
          </w:rPr>
          <w:fldChar w:fldCharType="separate"/>
        </w:r>
        <w:r w:rsidR="00216DAF">
          <w:rPr>
            <w:webHidden/>
          </w:rPr>
          <w:t>21</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5" w:history="1">
        <w:r w:rsidR="00F24205" w:rsidRPr="00671F89">
          <w:rPr>
            <w:rStyle w:val="Hipervnculo"/>
          </w:rPr>
          <w:t>2.3</w:t>
        </w:r>
        <w:r w:rsidR="00F24205">
          <w:rPr>
            <w:rFonts w:asciiTheme="minorHAnsi" w:eastAsiaTheme="minorEastAsia" w:hAnsiTheme="minorHAnsi" w:cstheme="minorBidi"/>
            <w:smallCaps w:val="0"/>
            <w:szCs w:val="22"/>
          </w:rPr>
          <w:tab/>
        </w:r>
        <w:r w:rsidR="00F24205" w:rsidRPr="00671F89">
          <w:rPr>
            <w:rStyle w:val="Hipervnculo"/>
          </w:rPr>
          <w:t>Control de tráfico (ascendente) por Operador.</w:t>
        </w:r>
        <w:r w:rsidR="00F24205">
          <w:rPr>
            <w:webHidden/>
          </w:rPr>
          <w:tab/>
        </w:r>
        <w:r w:rsidR="00F24205">
          <w:rPr>
            <w:webHidden/>
          </w:rPr>
          <w:fldChar w:fldCharType="begin"/>
        </w:r>
        <w:r w:rsidR="00F24205">
          <w:rPr>
            <w:webHidden/>
          </w:rPr>
          <w:instrText xml:space="preserve"> PAGEREF _Toc444784445 \h </w:instrText>
        </w:r>
        <w:r w:rsidR="00F24205">
          <w:rPr>
            <w:webHidden/>
          </w:rPr>
        </w:r>
        <w:r w:rsidR="00F24205">
          <w:rPr>
            <w:webHidden/>
          </w:rPr>
          <w:fldChar w:fldCharType="separate"/>
        </w:r>
        <w:r w:rsidR="00216DAF">
          <w:rPr>
            <w:webHidden/>
          </w:rPr>
          <w:t>22</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6" w:history="1">
        <w:r w:rsidR="00F24205" w:rsidRPr="00671F89">
          <w:rPr>
            <w:rStyle w:val="Hipervnculo"/>
          </w:rPr>
          <w:t>2.4</w:t>
        </w:r>
        <w:r w:rsidR="00F24205">
          <w:rPr>
            <w:rFonts w:asciiTheme="minorHAnsi" w:eastAsiaTheme="minorEastAsia" w:hAnsiTheme="minorHAnsi" w:cstheme="minorBidi"/>
            <w:smallCaps w:val="0"/>
            <w:szCs w:val="22"/>
          </w:rPr>
          <w:tab/>
        </w:r>
        <w:r w:rsidR="00F24205" w:rsidRPr="00671F89">
          <w:rPr>
            <w:rStyle w:val="Hipervnculo"/>
          </w:rPr>
          <w:t>Control de tráfico para descarte opcional de exceso respecto capacidad contratada.</w:t>
        </w:r>
        <w:r w:rsidR="00F24205">
          <w:rPr>
            <w:webHidden/>
          </w:rPr>
          <w:tab/>
        </w:r>
        <w:r w:rsidR="00F24205">
          <w:rPr>
            <w:webHidden/>
          </w:rPr>
          <w:fldChar w:fldCharType="begin"/>
        </w:r>
        <w:r w:rsidR="00F24205">
          <w:rPr>
            <w:webHidden/>
          </w:rPr>
          <w:instrText xml:space="preserve"> PAGEREF _Toc444784446 \h </w:instrText>
        </w:r>
        <w:r w:rsidR="00F24205">
          <w:rPr>
            <w:webHidden/>
          </w:rPr>
        </w:r>
        <w:r w:rsidR="00F24205">
          <w:rPr>
            <w:webHidden/>
          </w:rPr>
          <w:fldChar w:fldCharType="separate"/>
        </w:r>
        <w:r w:rsidR="00216DAF">
          <w:rPr>
            <w:webHidden/>
          </w:rPr>
          <w:t>22</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7" w:history="1">
        <w:r w:rsidR="00F24205" w:rsidRPr="00671F89">
          <w:rPr>
            <w:rStyle w:val="Hipervnculo"/>
          </w:rPr>
          <w:t>2.5</w:t>
        </w:r>
        <w:r w:rsidR="00F24205">
          <w:rPr>
            <w:rFonts w:asciiTheme="minorHAnsi" w:eastAsiaTheme="minorEastAsia" w:hAnsiTheme="minorHAnsi" w:cstheme="minorBidi"/>
            <w:smallCaps w:val="0"/>
            <w:szCs w:val="22"/>
          </w:rPr>
          <w:tab/>
        </w:r>
        <w:r w:rsidR="00F24205" w:rsidRPr="00671F89">
          <w:rPr>
            <w:rStyle w:val="Hipervnculo"/>
          </w:rPr>
          <w:t>Interfaz física de la entrega del servicio: pPAI-E.</w:t>
        </w:r>
        <w:r w:rsidR="00F24205">
          <w:rPr>
            <w:webHidden/>
          </w:rPr>
          <w:tab/>
        </w:r>
        <w:r w:rsidR="00F24205">
          <w:rPr>
            <w:webHidden/>
          </w:rPr>
          <w:fldChar w:fldCharType="begin"/>
        </w:r>
        <w:r w:rsidR="00F24205">
          <w:rPr>
            <w:webHidden/>
          </w:rPr>
          <w:instrText xml:space="preserve"> PAGEREF _Toc444784447 \h </w:instrText>
        </w:r>
        <w:r w:rsidR="00F24205">
          <w:rPr>
            <w:webHidden/>
          </w:rPr>
        </w:r>
        <w:r w:rsidR="00F24205">
          <w:rPr>
            <w:webHidden/>
          </w:rPr>
          <w:fldChar w:fldCharType="separate"/>
        </w:r>
        <w:r w:rsidR="00216DAF">
          <w:rPr>
            <w:webHidden/>
          </w:rPr>
          <w:t>22</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8" w:history="1">
        <w:r w:rsidR="00F24205" w:rsidRPr="00671F89">
          <w:rPr>
            <w:rStyle w:val="Hipervnculo"/>
          </w:rPr>
          <w:t>2.6</w:t>
        </w:r>
        <w:r w:rsidR="00F24205">
          <w:rPr>
            <w:rFonts w:asciiTheme="minorHAnsi" w:eastAsiaTheme="minorEastAsia" w:hAnsiTheme="minorHAnsi" w:cstheme="minorBidi"/>
            <w:smallCaps w:val="0"/>
            <w:szCs w:val="22"/>
          </w:rPr>
          <w:tab/>
        </w:r>
        <w:r w:rsidR="00F24205" w:rsidRPr="00671F89">
          <w:rPr>
            <w:rStyle w:val="Hipervnculo"/>
          </w:rPr>
          <w:t>Redundancia.</w:t>
        </w:r>
        <w:r w:rsidR="00F24205">
          <w:rPr>
            <w:webHidden/>
          </w:rPr>
          <w:tab/>
        </w:r>
        <w:r w:rsidR="00F24205">
          <w:rPr>
            <w:webHidden/>
          </w:rPr>
          <w:fldChar w:fldCharType="begin"/>
        </w:r>
        <w:r w:rsidR="00F24205">
          <w:rPr>
            <w:webHidden/>
          </w:rPr>
          <w:instrText xml:space="preserve"> PAGEREF _Toc444784448 \h </w:instrText>
        </w:r>
        <w:r w:rsidR="00F24205">
          <w:rPr>
            <w:webHidden/>
          </w:rPr>
        </w:r>
        <w:r w:rsidR="00F24205">
          <w:rPr>
            <w:webHidden/>
          </w:rPr>
          <w:fldChar w:fldCharType="separate"/>
        </w:r>
        <w:r w:rsidR="00216DAF">
          <w:rPr>
            <w:webHidden/>
          </w:rPr>
          <w:t>23</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49" w:history="1">
        <w:r w:rsidR="00F24205" w:rsidRPr="00671F89">
          <w:rPr>
            <w:rStyle w:val="Hipervnculo"/>
          </w:rPr>
          <w:t>2.7</w:t>
        </w:r>
        <w:r w:rsidR="00F24205">
          <w:rPr>
            <w:rFonts w:asciiTheme="minorHAnsi" w:eastAsiaTheme="minorEastAsia" w:hAnsiTheme="minorHAnsi" w:cstheme="minorBidi"/>
            <w:smallCaps w:val="0"/>
            <w:szCs w:val="22"/>
          </w:rPr>
          <w:tab/>
        </w:r>
        <w:r w:rsidR="00F24205" w:rsidRPr="00671F89">
          <w:rPr>
            <w:rStyle w:val="Hipervnculo"/>
          </w:rPr>
          <w:t>Número de puntos de entrega y distribución geográfica.</w:t>
        </w:r>
        <w:r w:rsidR="00F24205">
          <w:rPr>
            <w:webHidden/>
          </w:rPr>
          <w:tab/>
        </w:r>
        <w:r w:rsidR="00F24205">
          <w:rPr>
            <w:webHidden/>
          </w:rPr>
          <w:fldChar w:fldCharType="begin"/>
        </w:r>
        <w:r w:rsidR="00F24205">
          <w:rPr>
            <w:webHidden/>
          </w:rPr>
          <w:instrText xml:space="preserve"> PAGEREF _Toc444784449 \h </w:instrText>
        </w:r>
        <w:r w:rsidR="00F24205">
          <w:rPr>
            <w:webHidden/>
          </w:rPr>
        </w:r>
        <w:r w:rsidR="00F24205">
          <w:rPr>
            <w:webHidden/>
          </w:rPr>
          <w:fldChar w:fldCharType="separate"/>
        </w:r>
        <w:r w:rsidR="00216DAF">
          <w:rPr>
            <w:webHidden/>
          </w:rPr>
          <w:t>24</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50" w:history="1">
        <w:r w:rsidR="00F24205" w:rsidRPr="00671F89">
          <w:rPr>
            <w:rStyle w:val="Hipervnculo"/>
          </w:rPr>
          <w:t>2.8</w:t>
        </w:r>
        <w:r w:rsidR="00F24205">
          <w:rPr>
            <w:rFonts w:asciiTheme="minorHAnsi" w:eastAsiaTheme="minorEastAsia" w:hAnsiTheme="minorHAnsi" w:cstheme="minorBidi"/>
            <w:smallCaps w:val="0"/>
            <w:szCs w:val="22"/>
          </w:rPr>
          <w:tab/>
        </w:r>
        <w:r w:rsidR="00F24205" w:rsidRPr="00671F89">
          <w:rPr>
            <w:rStyle w:val="Hipervnculo"/>
          </w:rPr>
          <w:t>Mecanismos de verificación de la Calidad</w:t>
        </w:r>
        <w:r w:rsidR="00F24205">
          <w:rPr>
            <w:webHidden/>
          </w:rPr>
          <w:tab/>
        </w:r>
        <w:r w:rsidR="00F24205">
          <w:rPr>
            <w:webHidden/>
          </w:rPr>
          <w:fldChar w:fldCharType="begin"/>
        </w:r>
        <w:r w:rsidR="00F24205">
          <w:rPr>
            <w:webHidden/>
          </w:rPr>
          <w:instrText xml:space="preserve"> PAGEREF _Toc444784450 \h </w:instrText>
        </w:r>
        <w:r w:rsidR="00F24205">
          <w:rPr>
            <w:webHidden/>
          </w:rPr>
        </w:r>
        <w:r w:rsidR="00F24205">
          <w:rPr>
            <w:webHidden/>
          </w:rPr>
          <w:fldChar w:fldCharType="separate"/>
        </w:r>
        <w:r w:rsidR="00216DAF">
          <w:rPr>
            <w:webHidden/>
          </w:rPr>
          <w:t>24</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51" w:history="1">
        <w:r w:rsidR="00F24205" w:rsidRPr="00671F89">
          <w:rPr>
            <w:rStyle w:val="Hipervnculo"/>
          </w:rPr>
          <w:t>3</w:t>
        </w:r>
        <w:r w:rsidR="00F24205">
          <w:rPr>
            <w:rFonts w:asciiTheme="minorHAnsi" w:eastAsiaTheme="minorEastAsia" w:hAnsiTheme="minorHAnsi" w:cstheme="minorBidi"/>
            <w:b w:val="0"/>
            <w:i w:val="0"/>
            <w:caps w:val="0"/>
            <w:szCs w:val="22"/>
          </w:rPr>
          <w:tab/>
        </w:r>
        <w:r w:rsidR="00F24205" w:rsidRPr="00671F89">
          <w:rPr>
            <w:rStyle w:val="Hipervnculo"/>
          </w:rPr>
          <w:t>PROCESOS COMERCIALES</w:t>
        </w:r>
        <w:r w:rsidR="00F24205">
          <w:rPr>
            <w:webHidden/>
          </w:rPr>
          <w:tab/>
        </w:r>
        <w:r w:rsidR="00F24205">
          <w:rPr>
            <w:webHidden/>
          </w:rPr>
          <w:fldChar w:fldCharType="begin"/>
        </w:r>
        <w:r w:rsidR="00F24205">
          <w:rPr>
            <w:webHidden/>
          </w:rPr>
          <w:instrText xml:space="preserve"> PAGEREF _Toc444784451 \h </w:instrText>
        </w:r>
        <w:r w:rsidR="00F24205">
          <w:rPr>
            <w:webHidden/>
          </w:rPr>
        </w:r>
        <w:r w:rsidR="00F24205">
          <w:rPr>
            <w:webHidden/>
          </w:rPr>
          <w:fldChar w:fldCharType="separate"/>
        </w:r>
        <w:r w:rsidR="00216DAF">
          <w:rPr>
            <w:webHidden/>
          </w:rPr>
          <w:t>25</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52" w:history="1">
        <w:r w:rsidR="00F24205" w:rsidRPr="00671F89">
          <w:rPr>
            <w:rStyle w:val="Hipervnculo"/>
          </w:rPr>
          <w:t>3.1</w:t>
        </w:r>
        <w:r w:rsidR="00F24205">
          <w:rPr>
            <w:rFonts w:asciiTheme="minorHAnsi" w:eastAsiaTheme="minorEastAsia" w:hAnsiTheme="minorHAnsi" w:cstheme="minorBidi"/>
            <w:smallCaps w:val="0"/>
            <w:szCs w:val="22"/>
          </w:rPr>
          <w:tab/>
        </w:r>
        <w:r w:rsidR="00F24205" w:rsidRPr="00671F89">
          <w:rPr>
            <w:rStyle w:val="Hipervnculo"/>
          </w:rPr>
          <w:t>Canal con el Operador y Consultas.</w:t>
        </w:r>
        <w:r w:rsidR="00F24205">
          <w:rPr>
            <w:webHidden/>
          </w:rPr>
          <w:tab/>
        </w:r>
        <w:r w:rsidR="00F24205">
          <w:rPr>
            <w:webHidden/>
          </w:rPr>
          <w:fldChar w:fldCharType="begin"/>
        </w:r>
        <w:r w:rsidR="00F24205">
          <w:rPr>
            <w:webHidden/>
          </w:rPr>
          <w:instrText xml:space="preserve"> PAGEREF _Toc444784452 \h </w:instrText>
        </w:r>
        <w:r w:rsidR="00F24205">
          <w:rPr>
            <w:webHidden/>
          </w:rPr>
        </w:r>
        <w:r w:rsidR="00F24205">
          <w:rPr>
            <w:webHidden/>
          </w:rPr>
          <w:fldChar w:fldCharType="separate"/>
        </w:r>
        <w:r w:rsidR="00216DAF">
          <w:rPr>
            <w:webHidden/>
          </w:rPr>
          <w:t>25</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53" w:history="1">
        <w:r w:rsidR="00F24205" w:rsidRPr="00671F89">
          <w:rPr>
            <w:rStyle w:val="Hipervnculo"/>
          </w:rPr>
          <w:t>3.2</w:t>
        </w:r>
        <w:r w:rsidR="00F24205">
          <w:rPr>
            <w:rFonts w:asciiTheme="minorHAnsi" w:eastAsiaTheme="minorEastAsia" w:hAnsiTheme="minorHAnsi" w:cstheme="minorBidi"/>
            <w:smallCaps w:val="0"/>
            <w:szCs w:val="22"/>
          </w:rPr>
          <w:tab/>
        </w:r>
        <w:r w:rsidR="00F24205" w:rsidRPr="00671F89">
          <w:rPr>
            <w:rStyle w:val="Hipervnculo"/>
          </w:rPr>
          <w:t>Compatibilidades, incompatibilidades y dependencias del servicio y/o modalidades</w:t>
        </w:r>
        <w:r w:rsidR="00F24205">
          <w:rPr>
            <w:webHidden/>
          </w:rPr>
          <w:tab/>
        </w:r>
        <w:r w:rsidR="00F24205">
          <w:rPr>
            <w:webHidden/>
          </w:rPr>
          <w:fldChar w:fldCharType="begin"/>
        </w:r>
        <w:r w:rsidR="00F24205">
          <w:rPr>
            <w:webHidden/>
          </w:rPr>
          <w:instrText xml:space="preserve"> PAGEREF _Toc444784453 \h </w:instrText>
        </w:r>
        <w:r w:rsidR="00F24205">
          <w:rPr>
            <w:webHidden/>
          </w:rPr>
        </w:r>
        <w:r w:rsidR="00F24205">
          <w:rPr>
            <w:webHidden/>
          </w:rPr>
          <w:fldChar w:fldCharType="separate"/>
        </w:r>
        <w:r w:rsidR="00216DAF">
          <w:rPr>
            <w:webHidden/>
          </w:rPr>
          <w:t>26</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54" w:history="1">
        <w:r w:rsidR="00F24205" w:rsidRPr="00671F89">
          <w:rPr>
            <w:rStyle w:val="Hipervnculo"/>
          </w:rPr>
          <w:t>3.3</w:t>
        </w:r>
        <w:r w:rsidR="00F24205">
          <w:rPr>
            <w:rFonts w:asciiTheme="minorHAnsi" w:eastAsiaTheme="minorEastAsia" w:hAnsiTheme="minorHAnsi" w:cstheme="minorBidi"/>
            <w:smallCaps w:val="0"/>
            <w:szCs w:val="22"/>
          </w:rPr>
          <w:tab/>
        </w:r>
        <w:r w:rsidR="00F24205" w:rsidRPr="00671F89">
          <w:rPr>
            <w:rStyle w:val="Hipervnculo"/>
          </w:rPr>
          <w:t>Información de cobertura del servicio</w:t>
        </w:r>
        <w:r w:rsidR="00F24205">
          <w:rPr>
            <w:webHidden/>
          </w:rPr>
          <w:tab/>
        </w:r>
        <w:r w:rsidR="00F24205">
          <w:rPr>
            <w:webHidden/>
          </w:rPr>
          <w:fldChar w:fldCharType="begin"/>
        </w:r>
        <w:r w:rsidR="00F24205">
          <w:rPr>
            <w:webHidden/>
          </w:rPr>
          <w:instrText xml:space="preserve"> PAGEREF _Toc444784454 \h </w:instrText>
        </w:r>
        <w:r w:rsidR="00F24205">
          <w:rPr>
            <w:webHidden/>
          </w:rPr>
        </w:r>
        <w:r w:rsidR="00F24205">
          <w:rPr>
            <w:webHidden/>
          </w:rPr>
          <w:fldChar w:fldCharType="separate"/>
        </w:r>
        <w:r w:rsidR="00216DAF">
          <w:rPr>
            <w:webHidden/>
          </w:rPr>
          <w:t>27</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55" w:history="1">
        <w:r w:rsidR="00F24205" w:rsidRPr="00671F89">
          <w:rPr>
            <w:rStyle w:val="Hipervnculo"/>
          </w:rPr>
          <w:t>Tratamiento para direcciones no codificadas en GESCAL</w:t>
        </w:r>
        <w:r w:rsidR="00F24205">
          <w:rPr>
            <w:webHidden/>
          </w:rPr>
          <w:tab/>
        </w:r>
        <w:r w:rsidR="00F24205">
          <w:rPr>
            <w:webHidden/>
          </w:rPr>
          <w:fldChar w:fldCharType="begin"/>
        </w:r>
        <w:r w:rsidR="00F24205">
          <w:rPr>
            <w:webHidden/>
          </w:rPr>
          <w:instrText xml:space="preserve"> PAGEREF _Toc444784455 \h </w:instrText>
        </w:r>
        <w:r w:rsidR="00F24205">
          <w:rPr>
            <w:webHidden/>
          </w:rPr>
        </w:r>
        <w:r w:rsidR="00F24205">
          <w:rPr>
            <w:webHidden/>
          </w:rPr>
          <w:fldChar w:fldCharType="separate"/>
        </w:r>
        <w:r w:rsidR="00216DAF">
          <w:rPr>
            <w:webHidden/>
          </w:rPr>
          <w:t>27</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56" w:history="1">
        <w:r w:rsidR="00F24205" w:rsidRPr="00671F89">
          <w:rPr>
            <w:rStyle w:val="Hipervnculo"/>
          </w:rPr>
          <w:t>3.4</w:t>
        </w:r>
        <w:r w:rsidR="00F24205">
          <w:rPr>
            <w:rFonts w:asciiTheme="minorHAnsi" w:eastAsiaTheme="minorEastAsia" w:hAnsiTheme="minorHAnsi" w:cstheme="minorBidi"/>
            <w:smallCaps w:val="0"/>
            <w:szCs w:val="22"/>
          </w:rPr>
          <w:tab/>
        </w:r>
        <w:r w:rsidR="00F24205" w:rsidRPr="00671F89">
          <w:rPr>
            <w:rStyle w:val="Hipervnculo"/>
          </w:rPr>
          <w:t>Identificación de accesos</w:t>
        </w:r>
        <w:r w:rsidR="00F24205">
          <w:rPr>
            <w:webHidden/>
          </w:rPr>
          <w:tab/>
        </w:r>
        <w:r w:rsidR="00F24205">
          <w:rPr>
            <w:webHidden/>
          </w:rPr>
          <w:fldChar w:fldCharType="begin"/>
        </w:r>
        <w:r w:rsidR="00F24205">
          <w:rPr>
            <w:webHidden/>
          </w:rPr>
          <w:instrText xml:space="preserve"> PAGEREF _Toc444784456 \h </w:instrText>
        </w:r>
        <w:r w:rsidR="00F24205">
          <w:rPr>
            <w:webHidden/>
          </w:rPr>
        </w:r>
        <w:r w:rsidR="00F24205">
          <w:rPr>
            <w:webHidden/>
          </w:rPr>
          <w:fldChar w:fldCharType="separate"/>
        </w:r>
        <w:r w:rsidR="00216DAF">
          <w:rPr>
            <w:webHidden/>
          </w:rPr>
          <w:t>28</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57" w:history="1">
        <w:r w:rsidR="00F24205" w:rsidRPr="00671F89">
          <w:rPr>
            <w:rStyle w:val="Hipervnculo"/>
          </w:rPr>
          <w:t>Servicio de consulta para identificación de accesos</w:t>
        </w:r>
        <w:r w:rsidR="00F24205">
          <w:rPr>
            <w:webHidden/>
          </w:rPr>
          <w:tab/>
        </w:r>
        <w:r w:rsidR="00F24205">
          <w:rPr>
            <w:webHidden/>
          </w:rPr>
          <w:fldChar w:fldCharType="begin"/>
        </w:r>
        <w:r w:rsidR="00F24205">
          <w:rPr>
            <w:webHidden/>
          </w:rPr>
          <w:instrText xml:space="preserve"> PAGEREF _Toc444784457 \h </w:instrText>
        </w:r>
        <w:r w:rsidR="00F24205">
          <w:rPr>
            <w:webHidden/>
          </w:rPr>
        </w:r>
        <w:r w:rsidR="00F24205">
          <w:rPr>
            <w:webHidden/>
          </w:rPr>
          <w:fldChar w:fldCharType="separate"/>
        </w:r>
        <w:r w:rsidR="00216DAF">
          <w:rPr>
            <w:webHidden/>
          </w:rPr>
          <w:t>29</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58" w:history="1">
        <w:r w:rsidR="00F24205" w:rsidRPr="00671F89">
          <w:rPr>
            <w:rStyle w:val="Hipervnculo"/>
          </w:rPr>
          <w:t>Identificador Único de Acceso (IUA). Definiciones y formato</w:t>
        </w:r>
        <w:r w:rsidR="00F24205">
          <w:rPr>
            <w:webHidden/>
          </w:rPr>
          <w:tab/>
        </w:r>
        <w:r w:rsidR="00F24205">
          <w:rPr>
            <w:webHidden/>
          </w:rPr>
          <w:fldChar w:fldCharType="begin"/>
        </w:r>
        <w:r w:rsidR="00F24205">
          <w:rPr>
            <w:webHidden/>
          </w:rPr>
          <w:instrText xml:space="preserve"> PAGEREF _Toc444784458 \h </w:instrText>
        </w:r>
        <w:r w:rsidR="00F24205">
          <w:rPr>
            <w:webHidden/>
          </w:rPr>
        </w:r>
        <w:r w:rsidR="00F24205">
          <w:rPr>
            <w:webHidden/>
          </w:rPr>
          <w:fldChar w:fldCharType="separate"/>
        </w:r>
        <w:r w:rsidR="00216DAF">
          <w:rPr>
            <w:webHidden/>
          </w:rPr>
          <w:t>30</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59" w:history="1">
        <w:r w:rsidR="00F24205" w:rsidRPr="00671F89">
          <w:rPr>
            <w:rStyle w:val="Hipervnculo"/>
          </w:rPr>
          <w:t>3.5</w:t>
        </w:r>
        <w:r w:rsidR="00F24205">
          <w:rPr>
            <w:rFonts w:asciiTheme="minorHAnsi" w:eastAsiaTheme="minorEastAsia" w:hAnsiTheme="minorHAnsi" w:cstheme="minorBidi"/>
            <w:smallCaps w:val="0"/>
            <w:szCs w:val="22"/>
          </w:rPr>
          <w:tab/>
        </w:r>
        <w:r w:rsidR="00F24205" w:rsidRPr="00671F89">
          <w:rPr>
            <w:rStyle w:val="Hipervnculo"/>
          </w:rPr>
          <w:t>Movimientos NEBA (altas, bajas, postventas)</w:t>
        </w:r>
        <w:r w:rsidR="00F24205">
          <w:rPr>
            <w:webHidden/>
          </w:rPr>
          <w:tab/>
        </w:r>
        <w:r w:rsidR="00F24205">
          <w:rPr>
            <w:webHidden/>
          </w:rPr>
          <w:fldChar w:fldCharType="begin"/>
        </w:r>
        <w:r w:rsidR="00F24205">
          <w:rPr>
            <w:webHidden/>
          </w:rPr>
          <w:instrText xml:space="preserve"> PAGEREF _Toc444784459 \h </w:instrText>
        </w:r>
        <w:r w:rsidR="00F24205">
          <w:rPr>
            <w:webHidden/>
          </w:rPr>
        </w:r>
        <w:r w:rsidR="00F24205">
          <w:rPr>
            <w:webHidden/>
          </w:rPr>
          <w:fldChar w:fldCharType="separate"/>
        </w:r>
        <w:r w:rsidR="00216DAF">
          <w:rPr>
            <w:webHidden/>
          </w:rPr>
          <w:t>32</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60" w:history="1">
        <w:r w:rsidR="00F24205" w:rsidRPr="00671F89">
          <w:rPr>
            <w:rStyle w:val="Hipervnculo"/>
          </w:rPr>
          <w:t>Movimientos sobre accesos de cobre (tecnologías xDSL)</w:t>
        </w:r>
        <w:r w:rsidR="00F24205">
          <w:rPr>
            <w:webHidden/>
          </w:rPr>
          <w:tab/>
        </w:r>
        <w:r w:rsidR="00F24205">
          <w:rPr>
            <w:webHidden/>
          </w:rPr>
          <w:fldChar w:fldCharType="begin"/>
        </w:r>
        <w:r w:rsidR="00F24205">
          <w:rPr>
            <w:webHidden/>
          </w:rPr>
          <w:instrText xml:space="preserve"> PAGEREF _Toc444784460 \h </w:instrText>
        </w:r>
        <w:r w:rsidR="00F24205">
          <w:rPr>
            <w:webHidden/>
          </w:rPr>
        </w:r>
        <w:r w:rsidR="00F24205">
          <w:rPr>
            <w:webHidden/>
          </w:rPr>
          <w:fldChar w:fldCharType="separate"/>
        </w:r>
        <w:r w:rsidR="00216DAF">
          <w:rPr>
            <w:webHidden/>
          </w:rPr>
          <w:t>32</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61" w:history="1">
        <w:r w:rsidR="00F24205" w:rsidRPr="00671F89">
          <w:rPr>
            <w:rStyle w:val="Hipervnculo"/>
          </w:rPr>
          <w:t>Movimientos sobre tecnología FTTH/GPON</w:t>
        </w:r>
        <w:r w:rsidR="00F24205">
          <w:rPr>
            <w:webHidden/>
          </w:rPr>
          <w:tab/>
        </w:r>
        <w:r w:rsidR="00F24205">
          <w:rPr>
            <w:webHidden/>
          </w:rPr>
          <w:fldChar w:fldCharType="begin"/>
        </w:r>
        <w:r w:rsidR="00F24205">
          <w:rPr>
            <w:webHidden/>
          </w:rPr>
          <w:instrText xml:space="preserve"> PAGEREF _Toc444784461 \h </w:instrText>
        </w:r>
        <w:r w:rsidR="00F24205">
          <w:rPr>
            <w:webHidden/>
          </w:rPr>
        </w:r>
        <w:r w:rsidR="00F24205">
          <w:rPr>
            <w:webHidden/>
          </w:rPr>
          <w:fldChar w:fldCharType="separate"/>
        </w:r>
        <w:r w:rsidR="00216DAF">
          <w:rPr>
            <w:webHidden/>
          </w:rPr>
          <w:t>33</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62" w:history="1">
        <w:r w:rsidR="00F24205" w:rsidRPr="00671F89">
          <w:rPr>
            <w:rStyle w:val="Hipervnculo"/>
          </w:rPr>
          <w:t>Movimientos comerciales relativos a los Servicios Soporte de NEBA</w:t>
        </w:r>
        <w:r w:rsidR="00F24205">
          <w:rPr>
            <w:webHidden/>
          </w:rPr>
          <w:tab/>
        </w:r>
        <w:r w:rsidR="00F24205">
          <w:rPr>
            <w:webHidden/>
          </w:rPr>
          <w:fldChar w:fldCharType="begin"/>
        </w:r>
        <w:r w:rsidR="00F24205">
          <w:rPr>
            <w:webHidden/>
          </w:rPr>
          <w:instrText xml:space="preserve"> PAGEREF _Toc444784462 \h </w:instrText>
        </w:r>
        <w:r w:rsidR="00F24205">
          <w:rPr>
            <w:webHidden/>
          </w:rPr>
        </w:r>
        <w:r w:rsidR="00F24205">
          <w:rPr>
            <w:webHidden/>
          </w:rPr>
          <w:fldChar w:fldCharType="separate"/>
        </w:r>
        <w:r w:rsidR="00216DAF">
          <w:rPr>
            <w:webHidden/>
          </w:rPr>
          <w:t>34</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63" w:history="1">
        <w:r w:rsidR="00F24205" w:rsidRPr="00671F89">
          <w:rPr>
            <w:rStyle w:val="Hipervnculo"/>
          </w:rPr>
          <w:t>Movimientos de alta sobre ocupado</w:t>
        </w:r>
        <w:r w:rsidR="00F24205">
          <w:rPr>
            <w:webHidden/>
          </w:rPr>
          <w:tab/>
        </w:r>
        <w:r w:rsidR="00F24205">
          <w:rPr>
            <w:webHidden/>
          </w:rPr>
          <w:fldChar w:fldCharType="begin"/>
        </w:r>
        <w:r w:rsidR="00F24205">
          <w:rPr>
            <w:webHidden/>
          </w:rPr>
          <w:instrText xml:space="preserve"> PAGEREF _Toc444784463 \h </w:instrText>
        </w:r>
        <w:r w:rsidR="00F24205">
          <w:rPr>
            <w:webHidden/>
          </w:rPr>
        </w:r>
        <w:r w:rsidR="00F24205">
          <w:rPr>
            <w:webHidden/>
          </w:rPr>
          <w:fldChar w:fldCharType="separate"/>
        </w:r>
        <w:r w:rsidR="00216DAF">
          <w:rPr>
            <w:webHidden/>
          </w:rPr>
          <w:t>34</w:t>
        </w:r>
        <w:r w:rsidR="00F24205">
          <w:rPr>
            <w:webHidden/>
          </w:rPr>
          <w:fldChar w:fldCharType="end"/>
        </w:r>
      </w:hyperlink>
    </w:p>
    <w:p w:rsidR="00F24205" w:rsidRDefault="00317ECF">
      <w:pPr>
        <w:pStyle w:val="TDC4"/>
        <w:rPr>
          <w:rFonts w:asciiTheme="minorHAnsi" w:eastAsiaTheme="minorEastAsia" w:hAnsiTheme="minorHAnsi" w:cstheme="minorBidi"/>
          <w:szCs w:val="22"/>
        </w:rPr>
      </w:pPr>
      <w:hyperlink w:anchor="_Toc444784464" w:history="1">
        <w:r w:rsidR="00F24205" w:rsidRPr="00671F89">
          <w:rPr>
            <w:rStyle w:val="Hipervnculo"/>
          </w:rPr>
          <w:t>3.5.1.1</w:t>
        </w:r>
        <w:r w:rsidR="00F24205">
          <w:rPr>
            <w:rFonts w:asciiTheme="minorHAnsi" w:eastAsiaTheme="minorEastAsia" w:hAnsiTheme="minorHAnsi" w:cstheme="minorBidi"/>
            <w:szCs w:val="22"/>
          </w:rPr>
          <w:tab/>
        </w:r>
        <w:r w:rsidR="00F24205" w:rsidRPr="00671F89">
          <w:rPr>
            <w:rStyle w:val="Hipervnculo"/>
          </w:rPr>
          <w:t>Relación NEBA-GigADSL / ADSL IP (SGO)</w:t>
        </w:r>
        <w:r w:rsidR="00F24205">
          <w:rPr>
            <w:webHidden/>
          </w:rPr>
          <w:tab/>
        </w:r>
        <w:r w:rsidR="00F24205">
          <w:rPr>
            <w:webHidden/>
          </w:rPr>
          <w:fldChar w:fldCharType="begin"/>
        </w:r>
        <w:r w:rsidR="00F24205">
          <w:rPr>
            <w:webHidden/>
          </w:rPr>
          <w:instrText xml:space="preserve"> PAGEREF _Toc444784464 \h </w:instrText>
        </w:r>
        <w:r w:rsidR="00F24205">
          <w:rPr>
            <w:webHidden/>
          </w:rPr>
        </w:r>
        <w:r w:rsidR="00F24205">
          <w:rPr>
            <w:webHidden/>
          </w:rPr>
          <w:fldChar w:fldCharType="separate"/>
        </w:r>
        <w:r w:rsidR="00216DAF">
          <w:rPr>
            <w:webHidden/>
          </w:rPr>
          <w:t>34</w:t>
        </w:r>
        <w:r w:rsidR="00F24205">
          <w:rPr>
            <w:webHidden/>
          </w:rPr>
          <w:fldChar w:fldCharType="end"/>
        </w:r>
      </w:hyperlink>
    </w:p>
    <w:p w:rsidR="00F24205" w:rsidRDefault="00317ECF">
      <w:pPr>
        <w:pStyle w:val="TDC4"/>
        <w:rPr>
          <w:rFonts w:asciiTheme="minorHAnsi" w:eastAsiaTheme="minorEastAsia" w:hAnsiTheme="minorHAnsi" w:cstheme="minorBidi"/>
          <w:szCs w:val="22"/>
        </w:rPr>
      </w:pPr>
      <w:hyperlink w:anchor="_Toc444784465" w:history="1">
        <w:r w:rsidR="00F24205" w:rsidRPr="00671F89">
          <w:rPr>
            <w:rStyle w:val="Hipervnculo"/>
          </w:rPr>
          <w:t>3.5.1.2</w:t>
        </w:r>
        <w:r w:rsidR="00F24205">
          <w:rPr>
            <w:rFonts w:asciiTheme="minorHAnsi" w:eastAsiaTheme="minorEastAsia" w:hAnsiTheme="minorHAnsi" w:cstheme="minorBidi"/>
            <w:szCs w:val="22"/>
          </w:rPr>
          <w:tab/>
        </w:r>
        <w:r w:rsidR="00F24205" w:rsidRPr="00671F89">
          <w:rPr>
            <w:rStyle w:val="Hipervnculo"/>
          </w:rPr>
          <w:t>Relación NEBA-OBA (NEON)</w:t>
        </w:r>
        <w:r w:rsidR="00F24205">
          <w:rPr>
            <w:webHidden/>
          </w:rPr>
          <w:tab/>
        </w:r>
        <w:r w:rsidR="00F24205">
          <w:rPr>
            <w:webHidden/>
          </w:rPr>
          <w:fldChar w:fldCharType="begin"/>
        </w:r>
        <w:r w:rsidR="00F24205">
          <w:rPr>
            <w:webHidden/>
          </w:rPr>
          <w:instrText xml:space="preserve"> PAGEREF _Toc444784465 \h </w:instrText>
        </w:r>
        <w:r w:rsidR="00F24205">
          <w:rPr>
            <w:webHidden/>
          </w:rPr>
        </w:r>
        <w:r w:rsidR="00F24205">
          <w:rPr>
            <w:webHidden/>
          </w:rPr>
          <w:fldChar w:fldCharType="separate"/>
        </w:r>
        <w:r w:rsidR="00216DAF">
          <w:rPr>
            <w:webHidden/>
          </w:rPr>
          <w:t>35</w:t>
        </w:r>
        <w:r w:rsidR="00F24205">
          <w:rPr>
            <w:webHidden/>
          </w:rPr>
          <w:fldChar w:fldCharType="end"/>
        </w:r>
      </w:hyperlink>
    </w:p>
    <w:p w:rsidR="00F24205" w:rsidRDefault="00317ECF">
      <w:pPr>
        <w:pStyle w:val="TDC4"/>
        <w:rPr>
          <w:rFonts w:asciiTheme="minorHAnsi" w:eastAsiaTheme="minorEastAsia" w:hAnsiTheme="minorHAnsi" w:cstheme="minorBidi"/>
          <w:szCs w:val="22"/>
        </w:rPr>
      </w:pPr>
      <w:hyperlink w:anchor="_Toc444784466" w:history="1">
        <w:r w:rsidR="00F24205" w:rsidRPr="00671F89">
          <w:rPr>
            <w:rStyle w:val="Hipervnculo"/>
          </w:rPr>
          <w:t>3.5.1.3</w:t>
        </w:r>
        <w:r w:rsidR="00F24205">
          <w:rPr>
            <w:rFonts w:asciiTheme="minorHAnsi" w:eastAsiaTheme="minorEastAsia" w:hAnsiTheme="minorHAnsi" w:cstheme="minorBidi"/>
            <w:szCs w:val="22"/>
          </w:rPr>
          <w:tab/>
        </w:r>
        <w:r w:rsidR="00F24205" w:rsidRPr="00671F89">
          <w:rPr>
            <w:rStyle w:val="Hipervnculo"/>
          </w:rPr>
          <w:t>Relación NEBA-Minoristas</w:t>
        </w:r>
        <w:r w:rsidR="00F24205">
          <w:rPr>
            <w:webHidden/>
          </w:rPr>
          <w:tab/>
        </w:r>
        <w:r w:rsidR="00F24205">
          <w:rPr>
            <w:webHidden/>
          </w:rPr>
          <w:fldChar w:fldCharType="begin"/>
        </w:r>
        <w:r w:rsidR="00F24205">
          <w:rPr>
            <w:webHidden/>
          </w:rPr>
          <w:instrText xml:space="preserve"> PAGEREF _Toc444784466 \h </w:instrText>
        </w:r>
        <w:r w:rsidR="00F24205">
          <w:rPr>
            <w:webHidden/>
          </w:rPr>
        </w:r>
        <w:r w:rsidR="00F24205">
          <w:rPr>
            <w:webHidden/>
          </w:rPr>
          <w:fldChar w:fldCharType="separate"/>
        </w:r>
        <w:r w:rsidR="00216DAF">
          <w:rPr>
            <w:webHidden/>
          </w:rPr>
          <w:t>36</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67" w:history="1">
        <w:r w:rsidR="00F24205" w:rsidRPr="00671F89">
          <w:rPr>
            <w:rStyle w:val="Hipervnculo"/>
          </w:rPr>
          <w:t>4</w:t>
        </w:r>
        <w:r w:rsidR="00F24205">
          <w:rPr>
            <w:rFonts w:asciiTheme="minorHAnsi" w:eastAsiaTheme="minorEastAsia" w:hAnsiTheme="minorHAnsi" w:cstheme="minorBidi"/>
            <w:b w:val="0"/>
            <w:i w:val="0"/>
            <w:caps w:val="0"/>
            <w:szCs w:val="22"/>
          </w:rPr>
          <w:tab/>
        </w:r>
        <w:r w:rsidR="00F24205" w:rsidRPr="00671F89">
          <w:rPr>
            <w:rStyle w:val="Hipervnculo"/>
          </w:rPr>
          <w:t>CONDICIONES PARA EL DESPLIEGUE Y CONVIVENCIA DE SERVICIOS</w:t>
        </w:r>
        <w:r w:rsidR="00F24205">
          <w:rPr>
            <w:webHidden/>
          </w:rPr>
          <w:tab/>
        </w:r>
        <w:r w:rsidR="00F24205">
          <w:rPr>
            <w:webHidden/>
          </w:rPr>
          <w:fldChar w:fldCharType="begin"/>
        </w:r>
        <w:r w:rsidR="00F24205">
          <w:rPr>
            <w:webHidden/>
          </w:rPr>
          <w:instrText xml:space="preserve"> PAGEREF _Toc444784467 \h </w:instrText>
        </w:r>
        <w:r w:rsidR="00F24205">
          <w:rPr>
            <w:webHidden/>
          </w:rPr>
        </w:r>
        <w:r w:rsidR="00F24205">
          <w:rPr>
            <w:webHidden/>
          </w:rPr>
          <w:fldChar w:fldCharType="separate"/>
        </w:r>
        <w:r w:rsidR="00216DAF">
          <w:rPr>
            <w:webHidden/>
          </w:rPr>
          <w:t>38</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68" w:history="1">
        <w:r w:rsidR="00F24205" w:rsidRPr="00671F89">
          <w:rPr>
            <w:rStyle w:val="Hipervnculo"/>
          </w:rPr>
          <w:t>5</w:t>
        </w:r>
        <w:r w:rsidR="00F24205">
          <w:rPr>
            <w:rFonts w:asciiTheme="minorHAnsi" w:eastAsiaTheme="minorEastAsia" w:hAnsiTheme="minorHAnsi" w:cstheme="minorBidi"/>
            <w:b w:val="0"/>
            <w:i w:val="0"/>
            <w:caps w:val="0"/>
            <w:szCs w:val="22"/>
          </w:rPr>
          <w:tab/>
        </w:r>
        <w:r w:rsidR="00F24205" w:rsidRPr="00671F89">
          <w:rPr>
            <w:rStyle w:val="Hipervnculo"/>
          </w:rPr>
          <w:t>FACTURACIÓN</w:t>
        </w:r>
        <w:r w:rsidR="00F24205">
          <w:rPr>
            <w:webHidden/>
          </w:rPr>
          <w:tab/>
        </w:r>
        <w:r w:rsidR="00F24205">
          <w:rPr>
            <w:webHidden/>
          </w:rPr>
          <w:fldChar w:fldCharType="begin"/>
        </w:r>
        <w:r w:rsidR="00F24205">
          <w:rPr>
            <w:webHidden/>
          </w:rPr>
          <w:instrText xml:space="preserve"> PAGEREF _Toc444784468 \h </w:instrText>
        </w:r>
        <w:r w:rsidR="00F24205">
          <w:rPr>
            <w:webHidden/>
          </w:rPr>
        </w:r>
        <w:r w:rsidR="00F24205">
          <w:rPr>
            <w:webHidden/>
          </w:rPr>
          <w:fldChar w:fldCharType="separate"/>
        </w:r>
        <w:r w:rsidR="00216DAF">
          <w:rPr>
            <w:webHidden/>
          </w:rPr>
          <w:t>39</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69" w:history="1">
        <w:r w:rsidR="00F24205" w:rsidRPr="00671F89">
          <w:rPr>
            <w:rStyle w:val="Hipervnculo"/>
          </w:rPr>
          <w:t>6</w:t>
        </w:r>
        <w:r w:rsidR="00F24205">
          <w:rPr>
            <w:rFonts w:asciiTheme="minorHAnsi" w:eastAsiaTheme="minorEastAsia" w:hAnsiTheme="minorHAnsi" w:cstheme="minorBidi"/>
            <w:b w:val="0"/>
            <w:i w:val="0"/>
            <w:caps w:val="0"/>
            <w:szCs w:val="22"/>
          </w:rPr>
          <w:tab/>
        </w:r>
        <w:r w:rsidR="00F24205" w:rsidRPr="00671F89">
          <w:rPr>
            <w:rStyle w:val="Hipervnculo"/>
          </w:rPr>
          <w:t>OPERACIÓN Y MANTENIMIENTO</w:t>
        </w:r>
        <w:r w:rsidR="00F24205">
          <w:rPr>
            <w:webHidden/>
          </w:rPr>
          <w:tab/>
        </w:r>
        <w:r w:rsidR="00F24205">
          <w:rPr>
            <w:webHidden/>
          </w:rPr>
          <w:fldChar w:fldCharType="begin"/>
        </w:r>
        <w:r w:rsidR="00F24205">
          <w:rPr>
            <w:webHidden/>
          </w:rPr>
          <w:instrText xml:space="preserve"> PAGEREF _Toc444784469 \h </w:instrText>
        </w:r>
        <w:r w:rsidR="00F24205">
          <w:rPr>
            <w:webHidden/>
          </w:rPr>
        </w:r>
        <w:r w:rsidR="00F24205">
          <w:rPr>
            <w:webHidden/>
          </w:rPr>
          <w:fldChar w:fldCharType="separate"/>
        </w:r>
        <w:r w:rsidR="00216DAF">
          <w:rPr>
            <w:webHidden/>
          </w:rPr>
          <w:t>42</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70" w:history="1">
        <w:r w:rsidR="00F24205" w:rsidRPr="00671F89">
          <w:rPr>
            <w:rStyle w:val="Hipervnculo"/>
          </w:rPr>
          <w:t>6.1</w:t>
        </w:r>
        <w:r w:rsidR="00F24205">
          <w:rPr>
            <w:rFonts w:asciiTheme="minorHAnsi" w:eastAsiaTheme="minorEastAsia" w:hAnsiTheme="minorHAnsi" w:cstheme="minorBidi"/>
            <w:smallCaps w:val="0"/>
            <w:szCs w:val="22"/>
          </w:rPr>
          <w:tab/>
        </w:r>
        <w:r w:rsidR="00F24205" w:rsidRPr="00671F89">
          <w:rPr>
            <w:rStyle w:val="Hipervnculo"/>
          </w:rPr>
          <w:t>Mecanismos de introducción de reclamaciones y averías.</w:t>
        </w:r>
        <w:r w:rsidR="00F24205">
          <w:rPr>
            <w:webHidden/>
          </w:rPr>
          <w:tab/>
        </w:r>
        <w:r w:rsidR="00F24205">
          <w:rPr>
            <w:webHidden/>
          </w:rPr>
          <w:fldChar w:fldCharType="begin"/>
        </w:r>
        <w:r w:rsidR="00F24205">
          <w:rPr>
            <w:webHidden/>
          </w:rPr>
          <w:instrText xml:space="preserve"> PAGEREF _Toc444784470 \h </w:instrText>
        </w:r>
        <w:r w:rsidR="00F24205">
          <w:rPr>
            <w:webHidden/>
          </w:rPr>
        </w:r>
        <w:r w:rsidR="00F24205">
          <w:rPr>
            <w:webHidden/>
          </w:rPr>
          <w:fldChar w:fldCharType="separate"/>
        </w:r>
        <w:r w:rsidR="00216DAF">
          <w:rPr>
            <w:webHidden/>
          </w:rPr>
          <w:t>42</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71" w:history="1">
        <w:r w:rsidR="00F24205" w:rsidRPr="00671F89">
          <w:rPr>
            <w:rStyle w:val="Hipervnculo"/>
          </w:rPr>
          <w:t>6.2</w:t>
        </w:r>
        <w:r w:rsidR="00F24205">
          <w:rPr>
            <w:rFonts w:asciiTheme="minorHAnsi" w:eastAsiaTheme="minorEastAsia" w:hAnsiTheme="minorHAnsi" w:cstheme="minorBidi"/>
            <w:smallCaps w:val="0"/>
            <w:szCs w:val="22"/>
          </w:rPr>
          <w:tab/>
        </w:r>
        <w:r w:rsidR="00F24205" w:rsidRPr="00671F89">
          <w:rPr>
            <w:rStyle w:val="Hipervnculo"/>
          </w:rPr>
          <w:t>Procedimientos de gestión de averías</w:t>
        </w:r>
        <w:r w:rsidR="00F24205">
          <w:rPr>
            <w:webHidden/>
          </w:rPr>
          <w:tab/>
        </w:r>
        <w:r w:rsidR="00F24205">
          <w:rPr>
            <w:webHidden/>
          </w:rPr>
          <w:fldChar w:fldCharType="begin"/>
        </w:r>
        <w:r w:rsidR="00F24205">
          <w:rPr>
            <w:webHidden/>
          </w:rPr>
          <w:instrText xml:space="preserve"> PAGEREF _Toc444784471 \h </w:instrText>
        </w:r>
        <w:r w:rsidR="00F24205">
          <w:rPr>
            <w:webHidden/>
          </w:rPr>
        </w:r>
        <w:r w:rsidR="00F24205">
          <w:rPr>
            <w:webHidden/>
          </w:rPr>
          <w:fldChar w:fldCharType="separate"/>
        </w:r>
        <w:r w:rsidR="00216DAF">
          <w:rPr>
            <w:webHidden/>
          </w:rPr>
          <w:t>43</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72" w:history="1">
        <w:r w:rsidR="00F24205" w:rsidRPr="00671F89">
          <w:rPr>
            <w:rStyle w:val="Hipervnculo"/>
          </w:rPr>
          <w:t>6.3</w:t>
        </w:r>
        <w:r w:rsidR="00F24205">
          <w:rPr>
            <w:rFonts w:asciiTheme="minorHAnsi" w:eastAsiaTheme="minorEastAsia" w:hAnsiTheme="minorHAnsi" w:cstheme="minorBidi"/>
            <w:smallCaps w:val="0"/>
            <w:szCs w:val="22"/>
          </w:rPr>
          <w:tab/>
        </w:r>
        <w:r w:rsidR="00F24205" w:rsidRPr="00671F89">
          <w:rPr>
            <w:rStyle w:val="Hipervnculo"/>
          </w:rPr>
          <w:t>Avisos por averías masivas</w:t>
        </w:r>
        <w:r w:rsidR="00F24205">
          <w:rPr>
            <w:webHidden/>
          </w:rPr>
          <w:tab/>
        </w:r>
        <w:r w:rsidR="00F24205">
          <w:rPr>
            <w:webHidden/>
          </w:rPr>
          <w:fldChar w:fldCharType="begin"/>
        </w:r>
        <w:r w:rsidR="00F24205">
          <w:rPr>
            <w:webHidden/>
          </w:rPr>
          <w:instrText xml:space="preserve"> PAGEREF _Toc444784472 \h </w:instrText>
        </w:r>
        <w:r w:rsidR="00F24205">
          <w:rPr>
            <w:webHidden/>
          </w:rPr>
        </w:r>
        <w:r w:rsidR="00F24205">
          <w:rPr>
            <w:webHidden/>
          </w:rPr>
          <w:fldChar w:fldCharType="separate"/>
        </w:r>
        <w:r w:rsidR="00216DAF">
          <w:rPr>
            <w:webHidden/>
          </w:rPr>
          <w:t>43</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73" w:history="1">
        <w:r w:rsidR="00F24205" w:rsidRPr="00671F89">
          <w:rPr>
            <w:rStyle w:val="Hipervnculo"/>
          </w:rPr>
          <w:t>7</w:t>
        </w:r>
        <w:r w:rsidR="00F24205">
          <w:rPr>
            <w:rFonts w:asciiTheme="minorHAnsi" w:eastAsiaTheme="minorEastAsia" w:hAnsiTheme="minorHAnsi" w:cstheme="minorBidi"/>
            <w:b w:val="0"/>
            <w:i w:val="0"/>
            <w:caps w:val="0"/>
            <w:szCs w:val="22"/>
          </w:rPr>
          <w:tab/>
        </w:r>
        <w:r w:rsidR="00F24205" w:rsidRPr="00671F89">
          <w:rPr>
            <w:rStyle w:val="Hipervnculo"/>
          </w:rPr>
          <w:t>CALIDAD DEL SERVICIO  y ANS</w:t>
        </w:r>
        <w:r w:rsidR="00F24205">
          <w:rPr>
            <w:webHidden/>
          </w:rPr>
          <w:tab/>
        </w:r>
        <w:r w:rsidR="00F24205">
          <w:rPr>
            <w:webHidden/>
          </w:rPr>
          <w:fldChar w:fldCharType="begin"/>
        </w:r>
        <w:r w:rsidR="00F24205">
          <w:rPr>
            <w:webHidden/>
          </w:rPr>
          <w:instrText xml:space="preserve"> PAGEREF _Toc444784473 \h </w:instrText>
        </w:r>
        <w:r w:rsidR="00F24205">
          <w:rPr>
            <w:webHidden/>
          </w:rPr>
        </w:r>
        <w:r w:rsidR="00F24205">
          <w:rPr>
            <w:webHidden/>
          </w:rPr>
          <w:fldChar w:fldCharType="separate"/>
        </w:r>
        <w:r w:rsidR="00216DAF">
          <w:rPr>
            <w:webHidden/>
          </w:rPr>
          <w:t>44</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74" w:history="1">
        <w:r w:rsidR="00F24205" w:rsidRPr="00671F89">
          <w:rPr>
            <w:rStyle w:val="Hipervnculo"/>
          </w:rPr>
          <w:t>7.1</w:t>
        </w:r>
        <w:r w:rsidR="00F24205">
          <w:rPr>
            <w:rFonts w:asciiTheme="minorHAnsi" w:eastAsiaTheme="minorEastAsia" w:hAnsiTheme="minorHAnsi" w:cstheme="minorBidi"/>
            <w:smallCaps w:val="0"/>
            <w:szCs w:val="22"/>
          </w:rPr>
          <w:tab/>
        </w:r>
        <w:r w:rsidR="00F24205" w:rsidRPr="00671F89">
          <w:rPr>
            <w:rStyle w:val="Hipervnculo"/>
          </w:rPr>
          <w:t>Plazos de Provisión y Mantenimiento (Averías)</w:t>
        </w:r>
        <w:r w:rsidR="00F24205">
          <w:rPr>
            <w:webHidden/>
          </w:rPr>
          <w:tab/>
        </w:r>
        <w:r w:rsidR="00F24205">
          <w:rPr>
            <w:webHidden/>
          </w:rPr>
          <w:fldChar w:fldCharType="begin"/>
        </w:r>
        <w:r w:rsidR="00F24205">
          <w:rPr>
            <w:webHidden/>
          </w:rPr>
          <w:instrText xml:space="preserve"> PAGEREF _Toc444784474 \h </w:instrText>
        </w:r>
        <w:r w:rsidR="00F24205">
          <w:rPr>
            <w:webHidden/>
          </w:rPr>
        </w:r>
        <w:r w:rsidR="00F24205">
          <w:rPr>
            <w:webHidden/>
          </w:rPr>
          <w:fldChar w:fldCharType="separate"/>
        </w:r>
        <w:r w:rsidR="00216DAF">
          <w:rPr>
            <w:webHidden/>
          </w:rPr>
          <w:t>44</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75" w:history="1">
        <w:r w:rsidR="00F24205" w:rsidRPr="00671F89">
          <w:rPr>
            <w:rStyle w:val="Hipervnculo"/>
          </w:rPr>
          <w:t>Metodología de obtención de datos y penalizaciones</w:t>
        </w:r>
        <w:r w:rsidR="00F24205">
          <w:rPr>
            <w:webHidden/>
          </w:rPr>
          <w:tab/>
        </w:r>
        <w:r w:rsidR="00F24205">
          <w:rPr>
            <w:webHidden/>
          </w:rPr>
          <w:fldChar w:fldCharType="begin"/>
        </w:r>
        <w:r w:rsidR="00F24205">
          <w:rPr>
            <w:webHidden/>
          </w:rPr>
          <w:instrText xml:space="preserve"> PAGEREF _Toc444784475 \h </w:instrText>
        </w:r>
        <w:r w:rsidR="00F24205">
          <w:rPr>
            <w:webHidden/>
          </w:rPr>
        </w:r>
        <w:r w:rsidR="00F24205">
          <w:rPr>
            <w:webHidden/>
          </w:rPr>
          <w:fldChar w:fldCharType="separate"/>
        </w:r>
        <w:r w:rsidR="00216DAF">
          <w:rPr>
            <w:webHidden/>
          </w:rPr>
          <w:t>44</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76" w:history="1">
        <w:r w:rsidR="00F24205" w:rsidRPr="00671F89">
          <w:rPr>
            <w:rStyle w:val="Hipervnculo"/>
          </w:rPr>
          <w:t>Provisión de servicios</w:t>
        </w:r>
        <w:r w:rsidR="00F24205">
          <w:rPr>
            <w:webHidden/>
          </w:rPr>
          <w:tab/>
        </w:r>
        <w:r w:rsidR="00F24205">
          <w:rPr>
            <w:webHidden/>
          </w:rPr>
          <w:fldChar w:fldCharType="begin"/>
        </w:r>
        <w:r w:rsidR="00F24205">
          <w:rPr>
            <w:webHidden/>
          </w:rPr>
          <w:instrText xml:space="preserve"> PAGEREF _Toc444784476 \h </w:instrText>
        </w:r>
        <w:r w:rsidR="00F24205">
          <w:rPr>
            <w:webHidden/>
          </w:rPr>
        </w:r>
        <w:r w:rsidR="00F24205">
          <w:rPr>
            <w:webHidden/>
          </w:rPr>
          <w:fldChar w:fldCharType="separate"/>
        </w:r>
        <w:r w:rsidR="00216DAF">
          <w:rPr>
            <w:webHidden/>
          </w:rPr>
          <w:t>44</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77" w:history="1">
        <w:r w:rsidR="00F24205" w:rsidRPr="00671F89">
          <w:rPr>
            <w:rStyle w:val="Hipervnculo"/>
          </w:rPr>
          <w:t>Incidencias de provisión</w:t>
        </w:r>
        <w:r w:rsidR="00F24205">
          <w:rPr>
            <w:webHidden/>
          </w:rPr>
          <w:tab/>
        </w:r>
        <w:r w:rsidR="00F24205">
          <w:rPr>
            <w:webHidden/>
          </w:rPr>
          <w:fldChar w:fldCharType="begin"/>
        </w:r>
        <w:r w:rsidR="00F24205">
          <w:rPr>
            <w:webHidden/>
          </w:rPr>
          <w:instrText xml:space="preserve"> PAGEREF _Toc444784477 \h </w:instrText>
        </w:r>
        <w:r w:rsidR="00F24205">
          <w:rPr>
            <w:webHidden/>
          </w:rPr>
        </w:r>
        <w:r w:rsidR="00F24205">
          <w:rPr>
            <w:webHidden/>
          </w:rPr>
          <w:fldChar w:fldCharType="separate"/>
        </w:r>
        <w:r w:rsidR="00216DAF">
          <w:rPr>
            <w:webHidden/>
          </w:rPr>
          <w:t>44</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78" w:history="1">
        <w:r w:rsidR="00F24205" w:rsidRPr="00671F89">
          <w:rPr>
            <w:rStyle w:val="Hipervnculo"/>
          </w:rPr>
          <w:t>Incidencias de averías</w:t>
        </w:r>
        <w:r w:rsidR="00F24205">
          <w:rPr>
            <w:webHidden/>
          </w:rPr>
          <w:tab/>
        </w:r>
        <w:r w:rsidR="00F24205">
          <w:rPr>
            <w:webHidden/>
          </w:rPr>
          <w:fldChar w:fldCharType="begin"/>
        </w:r>
        <w:r w:rsidR="00F24205">
          <w:rPr>
            <w:webHidden/>
          </w:rPr>
          <w:instrText xml:space="preserve"> PAGEREF _Toc444784478 \h </w:instrText>
        </w:r>
        <w:r w:rsidR="00F24205">
          <w:rPr>
            <w:webHidden/>
          </w:rPr>
        </w:r>
        <w:r w:rsidR="00F24205">
          <w:rPr>
            <w:webHidden/>
          </w:rPr>
          <w:fldChar w:fldCharType="separate"/>
        </w:r>
        <w:r w:rsidR="00216DAF">
          <w:rPr>
            <w:webHidden/>
          </w:rPr>
          <w:t>44</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79" w:history="1">
        <w:r w:rsidR="00F24205" w:rsidRPr="00671F89">
          <w:rPr>
            <w:rStyle w:val="Hipervnculo"/>
          </w:rPr>
          <w:t>Servicios premium</w:t>
        </w:r>
        <w:r w:rsidR="00F24205">
          <w:rPr>
            <w:webHidden/>
          </w:rPr>
          <w:tab/>
        </w:r>
        <w:r w:rsidR="00F24205">
          <w:rPr>
            <w:webHidden/>
          </w:rPr>
          <w:fldChar w:fldCharType="begin"/>
        </w:r>
        <w:r w:rsidR="00F24205">
          <w:rPr>
            <w:webHidden/>
          </w:rPr>
          <w:instrText xml:space="preserve"> PAGEREF _Toc444784479 \h </w:instrText>
        </w:r>
        <w:r w:rsidR="00F24205">
          <w:rPr>
            <w:webHidden/>
          </w:rPr>
        </w:r>
        <w:r w:rsidR="00F24205">
          <w:rPr>
            <w:webHidden/>
          </w:rPr>
          <w:fldChar w:fldCharType="separate"/>
        </w:r>
        <w:r w:rsidR="00216DAF">
          <w:rPr>
            <w:webHidden/>
          </w:rPr>
          <w:t>45</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80" w:history="1">
        <w:r w:rsidR="00F24205" w:rsidRPr="00671F89">
          <w:rPr>
            <w:rStyle w:val="Hipervnculo"/>
          </w:rPr>
          <w:t>7.2</w:t>
        </w:r>
        <w:r w:rsidR="00F24205">
          <w:rPr>
            <w:rFonts w:asciiTheme="minorHAnsi" w:eastAsiaTheme="minorEastAsia" w:hAnsiTheme="minorHAnsi" w:cstheme="minorBidi"/>
            <w:smallCaps w:val="0"/>
            <w:szCs w:val="22"/>
          </w:rPr>
          <w:tab/>
        </w:r>
        <w:r w:rsidR="00F24205" w:rsidRPr="00671F89">
          <w:rPr>
            <w:rStyle w:val="Hipervnculo"/>
          </w:rPr>
          <w:t>Parámetros de QoS para cada clase de servicio</w:t>
        </w:r>
        <w:r w:rsidR="00F24205">
          <w:rPr>
            <w:webHidden/>
          </w:rPr>
          <w:tab/>
        </w:r>
        <w:r w:rsidR="00F24205">
          <w:rPr>
            <w:webHidden/>
          </w:rPr>
          <w:fldChar w:fldCharType="begin"/>
        </w:r>
        <w:r w:rsidR="00F24205">
          <w:rPr>
            <w:webHidden/>
          </w:rPr>
          <w:instrText xml:space="preserve"> PAGEREF _Toc444784480 \h </w:instrText>
        </w:r>
        <w:r w:rsidR="00F24205">
          <w:rPr>
            <w:webHidden/>
          </w:rPr>
        </w:r>
        <w:r w:rsidR="00F24205">
          <w:rPr>
            <w:webHidden/>
          </w:rPr>
          <w:fldChar w:fldCharType="separate"/>
        </w:r>
        <w:r w:rsidR="00216DAF">
          <w:rPr>
            <w:webHidden/>
          </w:rPr>
          <w:t>46</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81" w:history="1">
        <w:r w:rsidR="00F24205" w:rsidRPr="00671F89">
          <w:rPr>
            <w:rStyle w:val="Hipervnculo"/>
          </w:rPr>
          <w:t>Pérdida de información</w:t>
        </w:r>
        <w:r w:rsidR="00F24205">
          <w:rPr>
            <w:webHidden/>
          </w:rPr>
          <w:tab/>
        </w:r>
        <w:r w:rsidR="00F24205">
          <w:rPr>
            <w:webHidden/>
          </w:rPr>
          <w:fldChar w:fldCharType="begin"/>
        </w:r>
        <w:r w:rsidR="00F24205">
          <w:rPr>
            <w:webHidden/>
          </w:rPr>
          <w:instrText xml:space="preserve"> PAGEREF _Toc444784481 \h </w:instrText>
        </w:r>
        <w:r w:rsidR="00F24205">
          <w:rPr>
            <w:webHidden/>
          </w:rPr>
        </w:r>
        <w:r w:rsidR="00F24205">
          <w:rPr>
            <w:webHidden/>
          </w:rPr>
          <w:fldChar w:fldCharType="separate"/>
        </w:r>
        <w:r w:rsidR="00216DAF">
          <w:rPr>
            <w:webHidden/>
          </w:rPr>
          <w:t>46</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82" w:history="1">
        <w:r w:rsidR="00F24205" w:rsidRPr="00671F89">
          <w:rPr>
            <w:rStyle w:val="Hipervnculo"/>
          </w:rPr>
          <w:t>Retardo</w:t>
        </w:r>
        <w:r w:rsidR="00F24205">
          <w:rPr>
            <w:webHidden/>
          </w:rPr>
          <w:tab/>
        </w:r>
        <w:r w:rsidR="00F24205">
          <w:rPr>
            <w:webHidden/>
          </w:rPr>
          <w:fldChar w:fldCharType="begin"/>
        </w:r>
        <w:r w:rsidR="00F24205">
          <w:rPr>
            <w:webHidden/>
          </w:rPr>
          <w:instrText xml:space="preserve"> PAGEREF _Toc444784482 \h </w:instrText>
        </w:r>
        <w:r w:rsidR="00F24205">
          <w:rPr>
            <w:webHidden/>
          </w:rPr>
        </w:r>
        <w:r w:rsidR="00F24205">
          <w:rPr>
            <w:webHidden/>
          </w:rPr>
          <w:fldChar w:fldCharType="separate"/>
        </w:r>
        <w:r w:rsidR="00216DAF">
          <w:rPr>
            <w:webHidden/>
          </w:rPr>
          <w:t>46</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83" w:history="1">
        <w:r w:rsidR="00F24205" w:rsidRPr="00671F89">
          <w:rPr>
            <w:rStyle w:val="Hipervnculo"/>
          </w:rPr>
          <w:t>Variación del retardo (jitter)</w:t>
        </w:r>
        <w:r w:rsidR="00F24205">
          <w:rPr>
            <w:webHidden/>
          </w:rPr>
          <w:tab/>
        </w:r>
        <w:r w:rsidR="00F24205">
          <w:rPr>
            <w:webHidden/>
          </w:rPr>
          <w:fldChar w:fldCharType="begin"/>
        </w:r>
        <w:r w:rsidR="00F24205">
          <w:rPr>
            <w:webHidden/>
          </w:rPr>
          <w:instrText xml:space="preserve"> PAGEREF _Toc444784483 \h </w:instrText>
        </w:r>
        <w:r w:rsidR="00F24205">
          <w:rPr>
            <w:webHidden/>
          </w:rPr>
        </w:r>
        <w:r w:rsidR="00F24205">
          <w:rPr>
            <w:webHidden/>
          </w:rPr>
          <w:fldChar w:fldCharType="separate"/>
        </w:r>
        <w:r w:rsidR="00216DAF">
          <w:rPr>
            <w:webHidden/>
          </w:rPr>
          <w:t>47</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84" w:history="1">
        <w:r w:rsidR="00F24205" w:rsidRPr="00671F89">
          <w:rPr>
            <w:rStyle w:val="Hipervnculo"/>
          </w:rPr>
          <w:t>Penalizaciones</w:t>
        </w:r>
        <w:r w:rsidR="00F24205">
          <w:rPr>
            <w:webHidden/>
          </w:rPr>
          <w:tab/>
        </w:r>
        <w:r w:rsidR="00F24205">
          <w:rPr>
            <w:webHidden/>
          </w:rPr>
          <w:fldChar w:fldCharType="begin"/>
        </w:r>
        <w:r w:rsidR="00F24205">
          <w:rPr>
            <w:webHidden/>
          </w:rPr>
          <w:instrText xml:space="preserve"> PAGEREF _Toc444784484 \h </w:instrText>
        </w:r>
        <w:r w:rsidR="00F24205">
          <w:rPr>
            <w:webHidden/>
          </w:rPr>
        </w:r>
        <w:r w:rsidR="00F24205">
          <w:rPr>
            <w:webHidden/>
          </w:rPr>
          <w:fldChar w:fldCharType="separate"/>
        </w:r>
        <w:r w:rsidR="00216DAF">
          <w:rPr>
            <w:webHidden/>
          </w:rPr>
          <w:t>47</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86" w:history="1">
        <w:r w:rsidR="00F24205" w:rsidRPr="00671F89">
          <w:rPr>
            <w:rStyle w:val="Hipervnculo"/>
          </w:rPr>
          <w:t>7.3</w:t>
        </w:r>
        <w:r w:rsidR="00F24205">
          <w:rPr>
            <w:rFonts w:asciiTheme="minorHAnsi" w:eastAsiaTheme="minorEastAsia" w:hAnsiTheme="minorHAnsi" w:cstheme="minorBidi"/>
            <w:smallCaps w:val="0"/>
            <w:szCs w:val="22"/>
          </w:rPr>
          <w:tab/>
        </w:r>
        <w:r w:rsidR="00F24205" w:rsidRPr="00671F89">
          <w:rPr>
            <w:rStyle w:val="Hipervnculo"/>
          </w:rPr>
          <w:t>Calidad de la Red</w:t>
        </w:r>
        <w:r w:rsidR="00F24205">
          <w:rPr>
            <w:webHidden/>
          </w:rPr>
          <w:tab/>
        </w:r>
        <w:r w:rsidR="00F24205">
          <w:rPr>
            <w:webHidden/>
          </w:rPr>
          <w:fldChar w:fldCharType="begin"/>
        </w:r>
        <w:r w:rsidR="00F24205">
          <w:rPr>
            <w:webHidden/>
          </w:rPr>
          <w:instrText xml:space="preserve"> PAGEREF _Toc444784486 \h </w:instrText>
        </w:r>
        <w:r w:rsidR="00F24205">
          <w:rPr>
            <w:webHidden/>
          </w:rPr>
        </w:r>
        <w:r w:rsidR="00F24205">
          <w:rPr>
            <w:webHidden/>
          </w:rPr>
          <w:fldChar w:fldCharType="separate"/>
        </w:r>
        <w:r w:rsidR="00216DAF">
          <w:rPr>
            <w:webHidden/>
          </w:rPr>
          <w:t>48</w:t>
        </w:r>
        <w:r w:rsidR="00F24205">
          <w:rPr>
            <w:webHidden/>
          </w:rPr>
          <w:fldChar w:fldCharType="end"/>
        </w:r>
      </w:hyperlink>
    </w:p>
    <w:p w:rsidR="00F24205" w:rsidRDefault="00317ECF">
      <w:pPr>
        <w:pStyle w:val="TDC3"/>
        <w:rPr>
          <w:rFonts w:asciiTheme="minorHAnsi" w:eastAsiaTheme="minorEastAsia" w:hAnsiTheme="minorHAnsi" w:cstheme="minorBidi"/>
          <w:i w:val="0"/>
          <w:szCs w:val="22"/>
        </w:rPr>
      </w:pPr>
      <w:hyperlink w:anchor="_Toc444784487" w:history="1">
        <w:r w:rsidR="00F24205" w:rsidRPr="00671F89">
          <w:rPr>
            <w:rStyle w:val="Hipervnculo"/>
          </w:rPr>
          <w:t>Arquitectura del sistema de medida de la calidad</w:t>
        </w:r>
        <w:r w:rsidR="00F24205">
          <w:rPr>
            <w:webHidden/>
          </w:rPr>
          <w:tab/>
        </w:r>
        <w:r w:rsidR="00F24205">
          <w:rPr>
            <w:webHidden/>
          </w:rPr>
          <w:fldChar w:fldCharType="begin"/>
        </w:r>
        <w:r w:rsidR="00F24205">
          <w:rPr>
            <w:webHidden/>
          </w:rPr>
          <w:instrText xml:space="preserve"> PAGEREF _Toc444784487 \h </w:instrText>
        </w:r>
        <w:r w:rsidR="00F24205">
          <w:rPr>
            <w:webHidden/>
          </w:rPr>
        </w:r>
        <w:r w:rsidR="00F24205">
          <w:rPr>
            <w:webHidden/>
          </w:rPr>
          <w:fldChar w:fldCharType="separate"/>
        </w:r>
        <w:r w:rsidR="00216DAF">
          <w:rPr>
            <w:webHidden/>
          </w:rPr>
          <w:t>48</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88" w:history="1">
        <w:r w:rsidR="00F24205" w:rsidRPr="00671F89">
          <w:rPr>
            <w:rStyle w:val="Hipervnculo"/>
          </w:rPr>
          <w:t>8</w:t>
        </w:r>
        <w:r w:rsidR="00F24205">
          <w:rPr>
            <w:rFonts w:asciiTheme="minorHAnsi" w:eastAsiaTheme="minorEastAsia" w:hAnsiTheme="minorHAnsi" w:cstheme="minorBidi"/>
            <w:b w:val="0"/>
            <w:i w:val="0"/>
            <w:caps w:val="0"/>
            <w:szCs w:val="22"/>
          </w:rPr>
          <w:tab/>
        </w:r>
        <w:r w:rsidR="00F24205" w:rsidRPr="00671F89">
          <w:rPr>
            <w:rStyle w:val="Hipervnculo"/>
          </w:rPr>
          <w:t>PRUEBAS</w:t>
        </w:r>
        <w:r w:rsidR="00F24205">
          <w:rPr>
            <w:webHidden/>
          </w:rPr>
          <w:tab/>
        </w:r>
        <w:r w:rsidR="00F24205">
          <w:rPr>
            <w:webHidden/>
          </w:rPr>
          <w:fldChar w:fldCharType="begin"/>
        </w:r>
        <w:r w:rsidR="00F24205">
          <w:rPr>
            <w:webHidden/>
          </w:rPr>
          <w:instrText xml:space="preserve"> PAGEREF _Toc444784488 \h </w:instrText>
        </w:r>
        <w:r w:rsidR="00F24205">
          <w:rPr>
            <w:webHidden/>
          </w:rPr>
        </w:r>
        <w:r w:rsidR="00F24205">
          <w:rPr>
            <w:webHidden/>
          </w:rPr>
          <w:fldChar w:fldCharType="separate"/>
        </w:r>
        <w:r w:rsidR="00216DAF">
          <w:rPr>
            <w:webHidden/>
          </w:rPr>
          <w:t>51</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89" w:history="1">
        <w:r w:rsidR="00F24205" w:rsidRPr="00671F89">
          <w:rPr>
            <w:rStyle w:val="Hipervnculo"/>
          </w:rPr>
          <w:t>8.1</w:t>
        </w:r>
        <w:r w:rsidR="00F24205">
          <w:rPr>
            <w:rFonts w:asciiTheme="minorHAnsi" w:eastAsiaTheme="minorEastAsia" w:hAnsiTheme="minorHAnsi" w:cstheme="minorBidi"/>
            <w:smallCaps w:val="0"/>
            <w:szCs w:val="22"/>
          </w:rPr>
          <w:tab/>
        </w:r>
        <w:r w:rsidR="00F24205" w:rsidRPr="00671F89">
          <w:rPr>
            <w:rStyle w:val="Hipervnculo"/>
          </w:rPr>
          <w:t>Periodo de pruebas</w:t>
        </w:r>
        <w:r w:rsidR="00F24205">
          <w:rPr>
            <w:webHidden/>
          </w:rPr>
          <w:tab/>
        </w:r>
        <w:r w:rsidR="00F24205">
          <w:rPr>
            <w:webHidden/>
          </w:rPr>
          <w:fldChar w:fldCharType="begin"/>
        </w:r>
        <w:r w:rsidR="00F24205">
          <w:rPr>
            <w:webHidden/>
          </w:rPr>
          <w:instrText xml:space="preserve"> PAGEREF _Toc444784489 \h </w:instrText>
        </w:r>
        <w:r w:rsidR="00F24205">
          <w:rPr>
            <w:webHidden/>
          </w:rPr>
        </w:r>
        <w:r w:rsidR="00F24205">
          <w:rPr>
            <w:webHidden/>
          </w:rPr>
          <w:fldChar w:fldCharType="separate"/>
        </w:r>
        <w:r w:rsidR="00216DAF">
          <w:rPr>
            <w:webHidden/>
          </w:rPr>
          <w:t>51</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0" w:history="1">
        <w:r w:rsidR="00F24205" w:rsidRPr="00671F89">
          <w:rPr>
            <w:rStyle w:val="Hipervnculo"/>
          </w:rPr>
          <w:t>8.2</w:t>
        </w:r>
        <w:r w:rsidR="00F24205">
          <w:rPr>
            <w:rFonts w:asciiTheme="minorHAnsi" w:eastAsiaTheme="minorEastAsia" w:hAnsiTheme="minorHAnsi" w:cstheme="minorBidi"/>
            <w:smallCaps w:val="0"/>
            <w:szCs w:val="22"/>
          </w:rPr>
          <w:tab/>
        </w:r>
        <w:r w:rsidR="00F24205" w:rsidRPr="00671F89">
          <w:rPr>
            <w:rStyle w:val="Hipervnculo"/>
          </w:rPr>
          <w:t>Escenarios de migración entre planta actual de servicios mayoristas indirectos y el nuevo servicio Ethernet</w:t>
        </w:r>
        <w:r w:rsidR="00F24205">
          <w:rPr>
            <w:webHidden/>
          </w:rPr>
          <w:tab/>
        </w:r>
        <w:r w:rsidR="00F24205">
          <w:rPr>
            <w:webHidden/>
          </w:rPr>
          <w:fldChar w:fldCharType="begin"/>
        </w:r>
        <w:r w:rsidR="00F24205">
          <w:rPr>
            <w:webHidden/>
          </w:rPr>
          <w:instrText xml:space="preserve"> PAGEREF _Toc444784490 \h </w:instrText>
        </w:r>
        <w:r w:rsidR="00F24205">
          <w:rPr>
            <w:webHidden/>
          </w:rPr>
        </w:r>
        <w:r w:rsidR="00F24205">
          <w:rPr>
            <w:webHidden/>
          </w:rPr>
          <w:fldChar w:fldCharType="separate"/>
        </w:r>
        <w:r w:rsidR="00216DAF">
          <w:rPr>
            <w:webHidden/>
          </w:rPr>
          <w:t>51</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91" w:history="1">
        <w:r w:rsidR="00F24205" w:rsidRPr="00671F89">
          <w:rPr>
            <w:rStyle w:val="Hipervnculo"/>
          </w:rPr>
          <w:t>9</w:t>
        </w:r>
        <w:r w:rsidR="00F24205">
          <w:rPr>
            <w:rFonts w:asciiTheme="minorHAnsi" w:eastAsiaTheme="minorEastAsia" w:hAnsiTheme="minorHAnsi" w:cstheme="minorBidi"/>
            <w:b w:val="0"/>
            <w:i w:val="0"/>
            <w:caps w:val="0"/>
            <w:szCs w:val="22"/>
          </w:rPr>
          <w:tab/>
        </w:r>
        <w:r w:rsidR="00F24205" w:rsidRPr="00671F89">
          <w:rPr>
            <w:rStyle w:val="Hipervnculo"/>
          </w:rPr>
          <w:t>HERRAMIENTA DE TELEDIAGNOSIS</w:t>
        </w:r>
        <w:r w:rsidR="00F24205">
          <w:rPr>
            <w:webHidden/>
          </w:rPr>
          <w:tab/>
        </w:r>
        <w:r w:rsidR="00F24205">
          <w:rPr>
            <w:webHidden/>
          </w:rPr>
          <w:fldChar w:fldCharType="begin"/>
        </w:r>
        <w:r w:rsidR="00F24205">
          <w:rPr>
            <w:webHidden/>
          </w:rPr>
          <w:instrText xml:space="preserve"> PAGEREF _Toc444784491 \h </w:instrText>
        </w:r>
        <w:r w:rsidR="00F24205">
          <w:rPr>
            <w:webHidden/>
          </w:rPr>
        </w:r>
        <w:r w:rsidR="00F24205">
          <w:rPr>
            <w:webHidden/>
          </w:rPr>
          <w:fldChar w:fldCharType="separate"/>
        </w:r>
        <w:r w:rsidR="00216DAF">
          <w:rPr>
            <w:webHidden/>
          </w:rPr>
          <w:t>51</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92" w:history="1">
        <w:r w:rsidR="00F24205" w:rsidRPr="00671F89">
          <w:rPr>
            <w:rStyle w:val="Hipervnculo"/>
          </w:rPr>
          <w:t>10</w:t>
        </w:r>
        <w:r w:rsidR="00F24205">
          <w:rPr>
            <w:rFonts w:asciiTheme="minorHAnsi" w:eastAsiaTheme="minorEastAsia" w:hAnsiTheme="minorHAnsi" w:cstheme="minorBidi"/>
            <w:b w:val="0"/>
            <w:i w:val="0"/>
            <w:caps w:val="0"/>
            <w:szCs w:val="22"/>
          </w:rPr>
          <w:tab/>
        </w:r>
        <w:r w:rsidR="00F24205" w:rsidRPr="00671F89">
          <w:rPr>
            <w:rStyle w:val="Hipervnculo"/>
          </w:rPr>
          <w:t>ANEXO 1: CONSULTA DE COBERTURA</w:t>
        </w:r>
        <w:r w:rsidR="00F24205">
          <w:rPr>
            <w:webHidden/>
          </w:rPr>
          <w:tab/>
        </w:r>
        <w:r w:rsidR="00F24205">
          <w:rPr>
            <w:webHidden/>
          </w:rPr>
          <w:fldChar w:fldCharType="begin"/>
        </w:r>
        <w:r w:rsidR="00F24205">
          <w:rPr>
            <w:webHidden/>
          </w:rPr>
          <w:instrText xml:space="preserve"> PAGEREF _Toc444784492 \h </w:instrText>
        </w:r>
        <w:r w:rsidR="00F24205">
          <w:rPr>
            <w:webHidden/>
          </w:rPr>
        </w:r>
        <w:r w:rsidR="00F24205">
          <w:rPr>
            <w:webHidden/>
          </w:rPr>
          <w:fldChar w:fldCharType="separate"/>
        </w:r>
        <w:r w:rsidR="00216DAF">
          <w:rPr>
            <w:webHidden/>
          </w:rPr>
          <w:t>53</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3" w:history="1">
        <w:r w:rsidR="00F24205" w:rsidRPr="00671F89">
          <w:rPr>
            <w:rStyle w:val="Hipervnculo"/>
          </w:rPr>
          <w:t>10.1</w:t>
        </w:r>
        <w:r w:rsidR="00F24205">
          <w:rPr>
            <w:rFonts w:asciiTheme="minorHAnsi" w:eastAsiaTheme="minorEastAsia" w:hAnsiTheme="minorHAnsi" w:cstheme="minorBidi"/>
            <w:smallCaps w:val="0"/>
            <w:szCs w:val="22"/>
          </w:rPr>
          <w:tab/>
        </w:r>
        <w:r w:rsidR="00F24205" w:rsidRPr="00671F89">
          <w:rPr>
            <w:rStyle w:val="Hipervnculo"/>
          </w:rPr>
          <w:t>Codificación GESCAL: obtención del código GESCAL de domicilios</w:t>
        </w:r>
        <w:r w:rsidR="00F24205">
          <w:rPr>
            <w:webHidden/>
          </w:rPr>
          <w:tab/>
        </w:r>
        <w:r w:rsidR="00F24205">
          <w:rPr>
            <w:webHidden/>
          </w:rPr>
          <w:fldChar w:fldCharType="begin"/>
        </w:r>
        <w:r w:rsidR="00F24205">
          <w:rPr>
            <w:webHidden/>
          </w:rPr>
          <w:instrText xml:space="preserve"> PAGEREF _Toc444784493 \h </w:instrText>
        </w:r>
        <w:r w:rsidR="00F24205">
          <w:rPr>
            <w:webHidden/>
          </w:rPr>
        </w:r>
        <w:r w:rsidR="00F24205">
          <w:rPr>
            <w:webHidden/>
          </w:rPr>
          <w:fldChar w:fldCharType="separate"/>
        </w:r>
        <w:r w:rsidR="00216DAF">
          <w:rPr>
            <w:webHidden/>
          </w:rPr>
          <w:t>53</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4" w:history="1">
        <w:r w:rsidR="00F24205" w:rsidRPr="00671F89">
          <w:rPr>
            <w:rStyle w:val="Hipervnculo"/>
          </w:rPr>
          <w:t>10.2</w:t>
        </w:r>
        <w:r w:rsidR="00F24205">
          <w:rPr>
            <w:rFonts w:asciiTheme="minorHAnsi" w:eastAsiaTheme="minorEastAsia" w:hAnsiTheme="minorHAnsi" w:cstheme="minorBidi"/>
            <w:smallCaps w:val="0"/>
            <w:szCs w:val="22"/>
          </w:rPr>
          <w:tab/>
        </w:r>
        <w:r w:rsidR="00F24205" w:rsidRPr="00671F89">
          <w:rPr>
            <w:rStyle w:val="Hipervnculo"/>
          </w:rPr>
          <w:t>Situación actual de la información de cobertura de acceso indirecto xDSL mediante consulta a bases de datos y ficheros</w:t>
        </w:r>
        <w:r w:rsidR="00F24205">
          <w:rPr>
            <w:webHidden/>
          </w:rPr>
          <w:tab/>
        </w:r>
        <w:r w:rsidR="00F24205">
          <w:rPr>
            <w:webHidden/>
          </w:rPr>
          <w:fldChar w:fldCharType="begin"/>
        </w:r>
        <w:r w:rsidR="00F24205">
          <w:rPr>
            <w:webHidden/>
          </w:rPr>
          <w:instrText xml:space="preserve"> PAGEREF _Toc444784494 \h </w:instrText>
        </w:r>
        <w:r w:rsidR="00F24205">
          <w:rPr>
            <w:webHidden/>
          </w:rPr>
        </w:r>
        <w:r w:rsidR="00F24205">
          <w:rPr>
            <w:webHidden/>
          </w:rPr>
          <w:fldChar w:fldCharType="separate"/>
        </w:r>
        <w:r w:rsidR="00216DAF">
          <w:rPr>
            <w:webHidden/>
          </w:rPr>
          <w:t>54</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5" w:history="1">
        <w:r w:rsidR="00F24205" w:rsidRPr="00671F89">
          <w:rPr>
            <w:rStyle w:val="Hipervnculo"/>
          </w:rPr>
          <w:t>10.3</w:t>
        </w:r>
        <w:r w:rsidR="00F24205">
          <w:rPr>
            <w:rFonts w:asciiTheme="minorHAnsi" w:eastAsiaTheme="minorEastAsia" w:hAnsiTheme="minorHAnsi" w:cstheme="minorBidi"/>
            <w:smallCaps w:val="0"/>
            <w:szCs w:val="22"/>
          </w:rPr>
          <w:tab/>
        </w:r>
        <w:r w:rsidR="00F24205" w:rsidRPr="00671F89">
          <w:rPr>
            <w:rStyle w:val="Hipervnculo"/>
          </w:rPr>
          <w:t>Cobertura de acceso indirecto xDSL mediante Web Services, situación actual</w:t>
        </w:r>
        <w:r w:rsidR="00F24205">
          <w:rPr>
            <w:webHidden/>
          </w:rPr>
          <w:tab/>
        </w:r>
        <w:r w:rsidR="00F24205">
          <w:rPr>
            <w:webHidden/>
          </w:rPr>
          <w:fldChar w:fldCharType="begin"/>
        </w:r>
        <w:r w:rsidR="00F24205">
          <w:rPr>
            <w:webHidden/>
          </w:rPr>
          <w:instrText xml:space="preserve"> PAGEREF _Toc444784495 \h </w:instrText>
        </w:r>
        <w:r w:rsidR="00F24205">
          <w:rPr>
            <w:webHidden/>
          </w:rPr>
        </w:r>
        <w:r w:rsidR="00F24205">
          <w:rPr>
            <w:webHidden/>
          </w:rPr>
          <w:fldChar w:fldCharType="separate"/>
        </w:r>
        <w:r w:rsidR="00216DAF">
          <w:rPr>
            <w:webHidden/>
          </w:rPr>
          <w:t>55</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6" w:history="1">
        <w:r w:rsidR="00F24205" w:rsidRPr="00671F89">
          <w:rPr>
            <w:rStyle w:val="Hipervnculo"/>
          </w:rPr>
          <w:t>10.4</w:t>
        </w:r>
        <w:r w:rsidR="00F24205">
          <w:rPr>
            <w:rFonts w:asciiTheme="minorHAnsi" w:eastAsiaTheme="minorEastAsia" w:hAnsiTheme="minorHAnsi" w:cstheme="minorBidi"/>
            <w:smallCaps w:val="0"/>
            <w:szCs w:val="22"/>
          </w:rPr>
          <w:tab/>
        </w:r>
        <w:r w:rsidR="00F24205" w:rsidRPr="00671F89">
          <w:rPr>
            <w:rStyle w:val="Hipervnculo"/>
          </w:rPr>
          <w:t>Información de centrales con cobertura de fibra</w:t>
        </w:r>
        <w:r w:rsidR="00F24205">
          <w:rPr>
            <w:webHidden/>
          </w:rPr>
          <w:tab/>
        </w:r>
        <w:r w:rsidR="00F24205">
          <w:rPr>
            <w:webHidden/>
          </w:rPr>
          <w:fldChar w:fldCharType="begin"/>
        </w:r>
        <w:r w:rsidR="00F24205">
          <w:rPr>
            <w:webHidden/>
          </w:rPr>
          <w:instrText xml:space="preserve"> PAGEREF _Toc444784496 \h </w:instrText>
        </w:r>
        <w:r w:rsidR="00F24205">
          <w:rPr>
            <w:webHidden/>
          </w:rPr>
        </w:r>
        <w:r w:rsidR="00F24205">
          <w:rPr>
            <w:webHidden/>
          </w:rPr>
          <w:fldChar w:fldCharType="separate"/>
        </w:r>
        <w:r w:rsidR="00216DAF">
          <w:rPr>
            <w:webHidden/>
          </w:rPr>
          <w:t>56</w:t>
        </w:r>
        <w:r w:rsidR="00F24205">
          <w:rPr>
            <w:webHidden/>
          </w:rPr>
          <w:fldChar w:fldCharType="end"/>
        </w:r>
      </w:hyperlink>
    </w:p>
    <w:p w:rsidR="00F24205" w:rsidRDefault="00317ECF">
      <w:pPr>
        <w:pStyle w:val="TDC1"/>
        <w:rPr>
          <w:rFonts w:asciiTheme="minorHAnsi" w:eastAsiaTheme="minorEastAsia" w:hAnsiTheme="minorHAnsi" w:cstheme="minorBidi"/>
          <w:b w:val="0"/>
          <w:i w:val="0"/>
          <w:caps w:val="0"/>
          <w:szCs w:val="22"/>
        </w:rPr>
      </w:pPr>
      <w:hyperlink w:anchor="_Toc444784497" w:history="1">
        <w:r w:rsidR="00F24205" w:rsidRPr="00671F89">
          <w:rPr>
            <w:rStyle w:val="Hipervnculo"/>
          </w:rPr>
          <w:t>11</w:t>
        </w:r>
        <w:r w:rsidR="00F24205">
          <w:rPr>
            <w:rFonts w:asciiTheme="minorHAnsi" w:eastAsiaTheme="minorEastAsia" w:hAnsiTheme="minorHAnsi" w:cstheme="minorBidi"/>
            <w:b w:val="0"/>
            <w:i w:val="0"/>
            <w:caps w:val="0"/>
            <w:szCs w:val="22"/>
          </w:rPr>
          <w:tab/>
        </w:r>
        <w:r w:rsidR="00F24205" w:rsidRPr="00671F89">
          <w:rPr>
            <w:rStyle w:val="Hipervnculo"/>
          </w:rPr>
          <w:t>ANEXO 2: FORMATO CÓDIGO GESCAL</w:t>
        </w:r>
        <w:r w:rsidR="00F24205">
          <w:rPr>
            <w:webHidden/>
          </w:rPr>
          <w:tab/>
        </w:r>
        <w:r w:rsidR="00F24205">
          <w:rPr>
            <w:webHidden/>
          </w:rPr>
          <w:fldChar w:fldCharType="begin"/>
        </w:r>
        <w:r w:rsidR="00F24205">
          <w:rPr>
            <w:webHidden/>
          </w:rPr>
          <w:instrText xml:space="preserve"> PAGEREF _Toc444784497 \h </w:instrText>
        </w:r>
        <w:r w:rsidR="00F24205">
          <w:rPr>
            <w:webHidden/>
          </w:rPr>
        </w:r>
        <w:r w:rsidR="00F24205">
          <w:rPr>
            <w:webHidden/>
          </w:rPr>
          <w:fldChar w:fldCharType="separate"/>
        </w:r>
        <w:r w:rsidR="00216DAF">
          <w:rPr>
            <w:webHidden/>
          </w:rPr>
          <w:t>58</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8" w:history="1">
        <w:r w:rsidR="00F24205" w:rsidRPr="00671F89">
          <w:rPr>
            <w:rStyle w:val="Hipervnculo"/>
            <w:rFonts w:ascii="Arial" w:hAnsi="Arial" w:cs="Arial"/>
          </w:rPr>
          <w:t>11.1</w:t>
        </w:r>
        <w:r w:rsidR="00F24205">
          <w:rPr>
            <w:rFonts w:asciiTheme="minorHAnsi" w:eastAsiaTheme="minorEastAsia" w:hAnsiTheme="minorHAnsi" w:cstheme="minorBidi"/>
            <w:smallCaps w:val="0"/>
            <w:szCs w:val="22"/>
          </w:rPr>
          <w:tab/>
        </w:r>
        <w:r w:rsidR="00F24205" w:rsidRPr="00671F89">
          <w:rPr>
            <w:rStyle w:val="Hipervnculo"/>
            <w:rFonts w:ascii="Arial" w:hAnsi="Arial" w:cs="Arial"/>
          </w:rPr>
          <w:t>Formato del código GESCAL</w:t>
        </w:r>
        <w:r w:rsidR="00F24205">
          <w:rPr>
            <w:webHidden/>
          </w:rPr>
          <w:tab/>
        </w:r>
        <w:r w:rsidR="00F24205">
          <w:rPr>
            <w:webHidden/>
          </w:rPr>
          <w:fldChar w:fldCharType="begin"/>
        </w:r>
        <w:r w:rsidR="00F24205">
          <w:rPr>
            <w:webHidden/>
          </w:rPr>
          <w:instrText xml:space="preserve"> PAGEREF _Toc444784498 \h </w:instrText>
        </w:r>
        <w:r w:rsidR="00F24205">
          <w:rPr>
            <w:webHidden/>
          </w:rPr>
        </w:r>
        <w:r w:rsidR="00F24205">
          <w:rPr>
            <w:webHidden/>
          </w:rPr>
          <w:fldChar w:fldCharType="separate"/>
        </w:r>
        <w:r w:rsidR="00216DAF">
          <w:rPr>
            <w:webHidden/>
          </w:rPr>
          <w:t>58</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499" w:history="1">
        <w:r w:rsidR="00F24205" w:rsidRPr="00671F89">
          <w:rPr>
            <w:rStyle w:val="Hipervnculo"/>
            <w:rFonts w:ascii="Arial" w:hAnsi="Arial" w:cs="Arial"/>
          </w:rPr>
          <w:t>11.2</w:t>
        </w:r>
        <w:r w:rsidR="00F24205">
          <w:rPr>
            <w:rFonts w:asciiTheme="minorHAnsi" w:eastAsiaTheme="minorEastAsia" w:hAnsiTheme="minorHAnsi" w:cstheme="minorBidi"/>
            <w:smallCaps w:val="0"/>
            <w:szCs w:val="22"/>
          </w:rPr>
          <w:tab/>
        </w:r>
        <w:r w:rsidR="00F24205" w:rsidRPr="00671F89">
          <w:rPr>
            <w:rStyle w:val="Hipervnculo"/>
            <w:rFonts w:ascii="Arial" w:hAnsi="Arial" w:cs="Arial"/>
          </w:rPr>
          <w:t>Identificación del domicilio mediante código GESCAL en las solicitudes de altas sobre vacante</w:t>
        </w:r>
        <w:r w:rsidR="00F24205">
          <w:rPr>
            <w:webHidden/>
          </w:rPr>
          <w:tab/>
        </w:r>
        <w:r w:rsidR="00F24205">
          <w:rPr>
            <w:webHidden/>
          </w:rPr>
          <w:fldChar w:fldCharType="begin"/>
        </w:r>
        <w:r w:rsidR="00F24205">
          <w:rPr>
            <w:webHidden/>
          </w:rPr>
          <w:instrText xml:space="preserve"> PAGEREF _Toc444784499 \h </w:instrText>
        </w:r>
        <w:r w:rsidR="00F24205">
          <w:rPr>
            <w:webHidden/>
          </w:rPr>
        </w:r>
        <w:r w:rsidR="00F24205">
          <w:rPr>
            <w:webHidden/>
          </w:rPr>
          <w:fldChar w:fldCharType="separate"/>
        </w:r>
        <w:r w:rsidR="00216DAF">
          <w:rPr>
            <w:webHidden/>
          </w:rPr>
          <w:t>58</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500" w:history="1">
        <w:r w:rsidR="00F24205" w:rsidRPr="00671F89">
          <w:rPr>
            <w:rStyle w:val="Hipervnculo"/>
            <w:rFonts w:ascii="Arial" w:hAnsi="Arial" w:cs="Arial"/>
          </w:rPr>
          <w:t>11.3</w:t>
        </w:r>
        <w:r w:rsidR="00F24205">
          <w:rPr>
            <w:rFonts w:asciiTheme="minorHAnsi" w:eastAsiaTheme="minorEastAsia" w:hAnsiTheme="minorHAnsi" w:cstheme="minorBidi"/>
            <w:smallCaps w:val="0"/>
            <w:szCs w:val="22"/>
          </w:rPr>
          <w:tab/>
        </w:r>
        <w:r w:rsidR="00F24205" w:rsidRPr="00671F89">
          <w:rPr>
            <w:rStyle w:val="Hipervnculo"/>
            <w:rFonts w:ascii="Arial" w:hAnsi="Arial" w:cs="Arial"/>
          </w:rPr>
          <w:t>Bloque de datos de domicilio en la solicitud de alta sobre vacante en NEON</w:t>
        </w:r>
        <w:r w:rsidR="00F24205">
          <w:rPr>
            <w:webHidden/>
          </w:rPr>
          <w:tab/>
        </w:r>
        <w:r w:rsidR="00F24205">
          <w:rPr>
            <w:webHidden/>
          </w:rPr>
          <w:fldChar w:fldCharType="begin"/>
        </w:r>
        <w:r w:rsidR="00F24205">
          <w:rPr>
            <w:webHidden/>
          </w:rPr>
          <w:instrText xml:space="preserve"> PAGEREF _Toc444784500 \h </w:instrText>
        </w:r>
        <w:r w:rsidR="00F24205">
          <w:rPr>
            <w:webHidden/>
          </w:rPr>
        </w:r>
        <w:r w:rsidR="00F24205">
          <w:rPr>
            <w:webHidden/>
          </w:rPr>
          <w:fldChar w:fldCharType="separate"/>
        </w:r>
        <w:r w:rsidR="00216DAF">
          <w:rPr>
            <w:webHidden/>
          </w:rPr>
          <w:t>60</w:t>
        </w:r>
        <w:r w:rsidR="00F24205">
          <w:rPr>
            <w:webHidden/>
          </w:rPr>
          <w:fldChar w:fldCharType="end"/>
        </w:r>
      </w:hyperlink>
    </w:p>
    <w:p w:rsidR="00F24205" w:rsidRDefault="00317ECF">
      <w:pPr>
        <w:pStyle w:val="TDC2"/>
        <w:rPr>
          <w:rFonts w:asciiTheme="minorHAnsi" w:eastAsiaTheme="minorEastAsia" w:hAnsiTheme="minorHAnsi" w:cstheme="minorBidi"/>
          <w:smallCaps w:val="0"/>
          <w:szCs w:val="22"/>
        </w:rPr>
      </w:pPr>
      <w:hyperlink w:anchor="_Toc444784501" w:history="1">
        <w:r w:rsidR="00F24205" w:rsidRPr="00671F89">
          <w:rPr>
            <w:rStyle w:val="Hipervnculo"/>
            <w:rFonts w:ascii="Arial" w:hAnsi="Arial" w:cs="Arial"/>
          </w:rPr>
          <w:t>11.4</w:t>
        </w:r>
        <w:r w:rsidR="00F24205">
          <w:rPr>
            <w:rFonts w:asciiTheme="minorHAnsi" w:eastAsiaTheme="minorEastAsia" w:hAnsiTheme="minorHAnsi" w:cstheme="minorBidi"/>
            <w:smallCaps w:val="0"/>
            <w:szCs w:val="22"/>
          </w:rPr>
          <w:tab/>
        </w:r>
        <w:r w:rsidR="00F24205" w:rsidRPr="00671F89">
          <w:rPr>
            <w:rStyle w:val="Hipervnculo"/>
            <w:rFonts w:ascii="Arial" w:hAnsi="Arial" w:cs="Arial"/>
          </w:rPr>
          <w:t>Formato de los campos adicionales para información de “Escalera” y “Domicilio”</w:t>
        </w:r>
        <w:r w:rsidR="00F24205">
          <w:rPr>
            <w:webHidden/>
          </w:rPr>
          <w:tab/>
        </w:r>
        <w:r w:rsidR="00F24205">
          <w:rPr>
            <w:webHidden/>
          </w:rPr>
          <w:fldChar w:fldCharType="begin"/>
        </w:r>
        <w:r w:rsidR="00F24205">
          <w:rPr>
            <w:webHidden/>
          </w:rPr>
          <w:instrText xml:space="preserve"> PAGEREF _Toc444784501 \h </w:instrText>
        </w:r>
        <w:r w:rsidR="00F24205">
          <w:rPr>
            <w:webHidden/>
          </w:rPr>
        </w:r>
        <w:r w:rsidR="00F24205">
          <w:rPr>
            <w:webHidden/>
          </w:rPr>
          <w:fldChar w:fldCharType="separate"/>
        </w:r>
        <w:r w:rsidR="00216DAF">
          <w:rPr>
            <w:webHidden/>
          </w:rPr>
          <w:t>60</w:t>
        </w:r>
        <w:r w:rsidR="00F24205">
          <w:rPr>
            <w:webHidden/>
          </w:rPr>
          <w:fldChar w:fldCharType="end"/>
        </w:r>
      </w:hyperlink>
    </w:p>
    <w:p w:rsidR="00E02C27" w:rsidRDefault="00E02C27">
      <w:pPr>
        <w:spacing w:line="360" w:lineRule="auto"/>
        <w:ind w:left="1418" w:hanging="545"/>
        <w:jc w:val="center"/>
        <w:rPr>
          <w:rFonts w:ascii="Arial" w:hAnsi="Arial" w:cs="Arial"/>
          <w:snapToGrid w:val="0"/>
        </w:rPr>
      </w:pPr>
      <w:r>
        <w:rPr>
          <w:rFonts w:ascii="Arial" w:hAnsi="Arial" w:cs="Arial"/>
          <w:snapToGrid w:val="0"/>
        </w:rPr>
        <w:fldChar w:fldCharType="end"/>
      </w:r>
    </w:p>
    <w:p w:rsidR="00E02C27" w:rsidRDefault="00E02C27">
      <w:pPr>
        <w:spacing w:line="360" w:lineRule="auto"/>
        <w:ind w:left="1418" w:hanging="545"/>
        <w:jc w:val="center"/>
        <w:rPr>
          <w:rFonts w:ascii="Arial" w:hAnsi="Arial" w:cs="Arial"/>
          <w:b/>
          <w:bCs/>
          <w:sz w:val="16"/>
          <w:u w:val="single"/>
        </w:rPr>
      </w:pPr>
      <w:r>
        <w:rPr>
          <w:rFonts w:ascii="Arial" w:hAnsi="Arial" w:cs="Arial"/>
          <w:snapToGrid w:val="0"/>
        </w:rPr>
        <w:br w:type="page"/>
      </w:r>
    </w:p>
    <w:p w:rsidR="00E02C27" w:rsidRDefault="00E02C27">
      <w:pPr>
        <w:pStyle w:val="EstiloTtulo1"/>
        <w:tabs>
          <w:tab w:val="clear" w:pos="-60"/>
          <w:tab w:val="num" w:pos="-769"/>
        </w:tabs>
      </w:pPr>
      <w:bookmarkStart w:id="1" w:name="_Toc444784420"/>
      <w:r>
        <w:lastRenderedPageBreak/>
        <w:t>DESCRIPCIÓN BÁSICA DEL PRODUCTO/SERVICIO</w:t>
      </w:r>
      <w:bookmarkEnd w:id="1"/>
      <w:r>
        <w:t xml:space="preserve"> </w:t>
      </w:r>
    </w:p>
    <w:p w:rsidR="00E02C27" w:rsidRDefault="00E02C27">
      <w:pPr>
        <w:ind w:left="1418" w:hanging="545"/>
        <w:rPr>
          <w:rFonts w:ascii="Arial" w:hAnsi="Arial" w:cs="Arial"/>
        </w:rPr>
      </w:pPr>
    </w:p>
    <w:p w:rsidR="00E02C27" w:rsidRDefault="00E02C27" w:rsidP="006B5381">
      <w:pPr>
        <w:pStyle w:val="EstiloTitulo2"/>
      </w:pPr>
      <w:bookmarkStart w:id="2" w:name="_Toc444784421"/>
      <w:r>
        <w:t>Líneas maestras Comerciales del servicio</w:t>
      </w:r>
      <w:bookmarkEnd w:id="2"/>
    </w:p>
    <w:p w:rsidR="00E02C27" w:rsidRDefault="00E02C27">
      <w:pPr>
        <w:ind w:left="1418" w:hanging="545"/>
        <w:rPr>
          <w:rFonts w:ascii="Arial" w:hAnsi="Arial" w:cs="Arial"/>
          <w:b/>
          <w:bCs/>
          <w:szCs w:val="22"/>
          <w:u w:val="single"/>
        </w:rPr>
      </w:pPr>
    </w:p>
    <w:p w:rsidR="00E02C27" w:rsidRDefault="00E02C27">
      <w:pPr>
        <w:suppressAutoHyphens/>
        <w:spacing w:before="60" w:after="60"/>
        <w:ind w:left="431"/>
        <w:rPr>
          <w:rFonts w:ascii="Arial" w:hAnsi="Arial" w:cs="Arial"/>
          <w:sz w:val="24"/>
          <w:szCs w:val="24"/>
        </w:rPr>
      </w:pPr>
      <w:r>
        <w:rPr>
          <w:rFonts w:ascii="Arial" w:hAnsi="Arial" w:cs="Arial"/>
          <w:sz w:val="24"/>
          <w:szCs w:val="24"/>
        </w:rPr>
        <w:t>El objetivo de este documento es la descripción de un servicio mayorista de banda ancha de Acceso indirecto con las siguientes características:</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rPr>
      </w:pPr>
      <w:r>
        <w:rPr>
          <w:rFonts w:ascii="Arial" w:hAnsi="Arial" w:cs="Arial"/>
          <w:sz w:val="24"/>
          <w:szCs w:val="24"/>
        </w:rPr>
        <w:t>Servicio mayorista de acceso indirecto con entrega provincial en puntos de Acceso Indirecto Ethernet, en adelante PAI-E,</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rPr>
      </w:pPr>
      <w:r>
        <w:rPr>
          <w:rFonts w:ascii="Arial" w:hAnsi="Arial" w:cs="Arial"/>
          <w:sz w:val="24"/>
          <w:szCs w:val="24"/>
        </w:rPr>
        <w:t xml:space="preserve">Varias calidades de tráfico diferentes (BE </w:t>
      </w:r>
      <w:r>
        <w:rPr>
          <w:rFonts w:ascii="Arial" w:hAnsi="Arial" w:cs="Arial"/>
          <w:i/>
          <w:sz w:val="24"/>
          <w:szCs w:val="24"/>
        </w:rPr>
        <w:t>best effort</w:t>
      </w:r>
      <w:r>
        <w:rPr>
          <w:rFonts w:ascii="Arial" w:hAnsi="Arial" w:cs="Arial"/>
          <w:sz w:val="24"/>
          <w:szCs w:val="24"/>
        </w:rPr>
        <w:t xml:space="preserve">, RT </w:t>
      </w:r>
      <w:r>
        <w:rPr>
          <w:rFonts w:ascii="Arial" w:hAnsi="Arial" w:cs="Arial"/>
          <w:i/>
          <w:sz w:val="24"/>
          <w:szCs w:val="24"/>
        </w:rPr>
        <w:t>real time</w:t>
      </w:r>
      <w:r>
        <w:rPr>
          <w:rFonts w:ascii="Arial" w:hAnsi="Arial" w:cs="Arial"/>
          <w:sz w:val="24"/>
          <w:szCs w:val="24"/>
        </w:rPr>
        <w:t xml:space="preserve"> y ORO) por acceso de cliente, cada una con un ancho de banda definido en contratación y de conformidad con los modos de funcionamiento especificados en este documento.</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rPr>
      </w:pPr>
      <w:r>
        <w:rPr>
          <w:rFonts w:ascii="Arial" w:hAnsi="Arial" w:cs="Arial"/>
          <w:sz w:val="24"/>
          <w:szCs w:val="24"/>
        </w:rPr>
        <w:t xml:space="preserve">Interfaces Ethernet entre equipo de cliente y nodo de acceso (DSLAM/OLT), </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rPr>
      </w:pPr>
      <w:r>
        <w:rPr>
          <w:rFonts w:ascii="Arial" w:hAnsi="Arial" w:cs="Arial"/>
          <w:sz w:val="24"/>
          <w:szCs w:val="24"/>
        </w:rPr>
        <w:t>Interfaces Ethernet en los puntos de entrega del servicio (PAI-E, puntos de acceso indirecto)</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rPr>
      </w:pPr>
      <w:r>
        <w:rPr>
          <w:rFonts w:ascii="Arial" w:hAnsi="Arial" w:cs="Arial"/>
          <w:sz w:val="24"/>
          <w:szCs w:val="24"/>
        </w:rPr>
        <w:t>Tráfico ascendente (usuario-red) conformado por el equipo de cliente para adecuarse a las características del servicio y calidades contratadas y sobre el que el nodo de acceso ejerce las funciones de control conformes con las características del servicio contratado,</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rPr>
      </w:pPr>
      <w:r>
        <w:rPr>
          <w:rFonts w:ascii="Arial" w:hAnsi="Arial" w:cs="Arial"/>
          <w:sz w:val="24"/>
          <w:szCs w:val="24"/>
        </w:rPr>
        <w:t>Tráfico descendente (red-usuario) conformado por el equipo de borde de red (equipo de cliente mayorista).</w:t>
      </w:r>
    </w:p>
    <w:p w:rsidR="00E02C27" w:rsidRDefault="00E02C27">
      <w:pPr>
        <w:suppressAutoHyphens/>
        <w:spacing w:before="60" w:after="60"/>
        <w:ind w:left="431"/>
        <w:rPr>
          <w:rFonts w:ascii="Arial" w:hAnsi="Arial" w:cs="Arial"/>
          <w:sz w:val="24"/>
          <w:szCs w:val="24"/>
        </w:rPr>
      </w:pPr>
      <w:r>
        <w:rPr>
          <w:rFonts w:ascii="Arial" w:hAnsi="Arial" w:cs="Arial"/>
          <w:sz w:val="24"/>
          <w:szCs w:val="24"/>
        </w:rPr>
        <w:t xml:space="preserve">El equipamiento de cliente (EDC) no está incluido en el servicio. </w:t>
      </w:r>
    </w:p>
    <w:p w:rsidR="00E02C27" w:rsidRDefault="00E02C27">
      <w:pPr>
        <w:suppressAutoHyphens/>
        <w:spacing w:before="60" w:after="60"/>
        <w:ind w:left="431"/>
        <w:rPr>
          <w:rFonts w:ascii="Arial" w:hAnsi="Arial" w:cs="Arial"/>
          <w:sz w:val="24"/>
          <w:szCs w:val="24"/>
        </w:rPr>
      </w:pPr>
      <w:r>
        <w:rPr>
          <w:rFonts w:ascii="Arial" w:hAnsi="Arial" w:cs="Arial"/>
          <w:sz w:val="24"/>
          <w:szCs w:val="24"/>
        </w:rPr>
        <w:t>Las tecnologías de acceso sobre las que se ofrecerá el servicio son las siguientes:</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lang w:val="en-GB"/>
        </w:rPr>
      </w:pPr>
      <w:r>
        <w:rPr>
          <w:rFonts w:ascii="Arial" w:hAnsi="Arial" w:cs="Arial"/>
          <w:sz w:val="24"/>
          <w:szCs w:val="24"/>
          <w:lang w:val="en-GB"/>
        </w:rPr>
        <w:t>ADSL 2+ / POTS</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lang w:val="en-GB"/>
        </w:rPr>
      </w:pPr>
      <w:r>
        <w:rPr>
          <w:rFonts w:ascii="Arial" w:hAnsi="Arial" w:cs="Arial"/>
          <w:sz w:val="24"/>
          <w:szCs w:val="24"/>
          <w:lang w:val="en-GB"/>
        </w:rPr>
        <w:t>VDSL2</w:t>
      </w:r>
    </w:p>
    <w:p w:rsidR="00E02C27" w:rsidRDefault="00E02C27">
      <w:pPr>
        <w:numPr>
          <w:ilvl w:val="0"/>
          <w:numId w:val="36"/>
        </w:numPr>
        <w:tabs>
          <w:tab w:val="clear" w:pos="720"/>
          <w:tab w:val="num" w:pos="1151"/>
        </w:tabs>
        <w:suppressAutoHyphens/>
        <w:spacing w:before="60" w:after="60"/>
        <w:ind w:left="1151"/>
        <w:rPr>
          <w:rFonts w:ascii="Arial" w:hAnsi="Arial" w:cs="Arial"/>
          <w:sz w:val="24"/>
          <w:szCs w:val="24"/>
          <w:lang w:val="en-GB"/>
        </w:rPr>
      </w:pPr>
      <w:r>
        <w:rPr>
          <w:rFonts w:ascii="Arial" w:hAnsi="Arial" w:cs="Arial"/>
          <w:sz w:val="24"/>
          <w:szCs w:val="24"/>
          <w:lang w:val="en-GB"/>
        </w:rPr>
        <w:t xml:space="preserve">FTTH </w:t>
      </w:r>
    </w:p>
    <w:p w:rsidR="00E02C27" w:rsidRDefault="00E02C27">
      <w:pPr>
        <w:suppressAutoHyphens/>
        <w:spacing w:before="60" w:after="60"/>
        <w:ind w:left="431"/>
        <w:rPr>
          <w:rFonts w:ascii="Arial" w:hAnsi="Arial" w:cs="Arial"/>
          <w:sz w:val="24"/>
          <w:szCs w:val="24"/>
        </w:rPr>
      </w:pPr>
      <w:r>
        <w:rPr>
          <w:rFonts w:ascii="Arial" w:hAnsi="Arial" w:cs="Arial"/>
          <w:sz w:val="24"/>
          <w:szCs w:val="24"/>
        </w:rPr>
        <w:t xml:space="preserve">Los requisitos del servicio hacen que éste sólo pueda construirse sobre determinados nodos de acceso, en concreto, sobre los DSLAM IP compatibles con la arquitectura monoVLAN y los requisitos de control del servicio requeridos, así como sobre las OLT (nodos de acceso FTTH). Dado que los DSLAM-IP compatibles con el servicio existentes en la red de </w:t>
      </w:r>
      <w:r w:rsidR="009D686F">
        <w:rPr>
          <w:rFonts w:ascii="Arial" w:hAnsi="Arial" w:cs="Arial"/>
          <w:sz w:val="24"/>
          <w:szCs w:val="24"/>
        </w:rPr>
        <w:t>Telefónica</w:t>
      </w:r>
      <w:r>
        <w:rPr>
          <w:rFonts w:ascii="Arial" w:hAnsi="Arial" w:cs="Arial"/>
          <w:sz w:val="24"/>
          <w:szCs w:val="24"/>
        </w:rPr>
        <w:t xml:space="preserve"> sólo están equipados con interfaces ADSL2+, no se contempla la oferta del servicio NEBA sobre la interfaz ADSL. Tampoco se contempla la oferta sobre accesos RDSI ya que </w:t>
      </w:r>
      <w:r w:rsidR="009D686F">
        <w:rPr>
          <w:rFonts w:ascii="Arial" w:hAnsi="Arial" w:cs="Arial"/>
          <w:sz w:val="24"/>
          <w:szCs w:val="24"/>
        </w:rPr>
        <w:t>Telefónica</w:t>
      </w:r>
      <w:r>
        <w:rPr>
          <w:rFonts w:ascii="Arial" w:hAnsi="Arial" w:cs="Arial"/>
          <w:sz w:val="24"/>
          <w:szCs w:val="24"/>
        </w:rPr>
        <w:t xml:space="preserve"> no dispone de interfaces ADSL2+/RDSI ni VDSL2/RDSI en sus DSLAM IP.</w:t>
      </w:r>
    </w:p>
    <w:p w:rsidR="00E02C27" w:rsidRDefault="00E02C27">
      <w:pPr>
        <w:suppressAutoHyphens/>
        <w:spacing w:before="60" w:after="60"/>
        <w:ind w:left="431"/>
        <w:rPr>
          <w:rFonts w:ascii="Arial" w:hAnsi="Arial" w:cs="Arial"/>
          <w:sz w:val="24"/>
          <w:szCs w:val="24"/>
        </w:rPr>
      </w:pPr>
      <w:r>
        <w:rPr>
          <w:rFonts w:ascii="Arial" w:hAnsi="Arial" w:cs="Arial"/>
          <w:sz w:val="24"/>
          <w:szCs w:val="24"/>
        </w:rPr>
        <w:t>Las validaciones de bucle de las modalidades ADSL2+ y VDSL2 estarán sujetas a los mismos criterios técnicos que los servicios minoristas de Telefónica allá donde sea aplicable.</w:t>
      </w:r>
    </w:p>
    <w:p w:rsidR="001E5394" w:rsidRDefault="001E5394">
      <w:pPr>
        <w:suppressAutoHyphens/>
        <w:spacing w:before="60" w:after="60"/>
        <w:ind w:left="431"/>
        <w:rPr>
          <w:rFonts w:ascii="Arial" w:hAnsi="Arial" w:cs="Arial"/>
          <w:sz w:val="24"/>
          <w:szCs w:val="24"/>
        </w:rPr>
      </w:pPr>
      <w:r w:rsidRPr="001E5394">
        <w:rPr>
          <w:rFonts w:ascii="Arial" w:hAnsi="Arial" w:cs="Arial"/>
          <w:sz w:val="24"/>
          <w:szCs w:val="24"/>
        </w:rPr>
        <w:t xml:space="preserve">El servicio NEBA es un servicio de nivel 2 </w:t>
      </w:r>
      <w:r w:rsidR="00FE2416" w:rsidRPr="00FE2416">
        <w:rPr>
          <w:rFonts w:ascii="Arial" w:hAnsi="Arial" w:cs="Arial"/>
          <w:sz w:val="24"/>
          <w:szCs w:val="24"/>
        </w:rPr>
        <w:t xml:space="preserve">de transporte de tramas Ethernet </w:t>
      </w:r>
      <w:r w:rsidRPr="001E5394">
        <w:rPr>
          <w:rFonts w:ascii="Arial" w:hAnsi="Arial" w:cs="Arial"/>
          <w:sz w:val="24"/>
          <w:szCs w:val="24"/>
        </w:rPr>
        <w:t>transparente a toda información transportada de protocolos de nivel 3 y superior</w:t>
      </w:r>
      <w:r w:rsidR="00E12005">
        <w:rPr>
          <w:rFonts w:ascii="Arial" w:hAnsi="Arial" w:cs="Arial"/>
          <w:sz w:val="24"/>
          <w:szCs w:val="24"/>
        </w:rPr>
        <w:t>.</w:t>
      </w:r>
    </w:p>
    <w:p w:rsidR="00E02C27" w:rsidRDefault="00E02C27">
      <w:pPr>
        <w:pStyle w:val="Textoindependiente"/>
        <w:spacing w:before="60" w:after="60"/>
        <w:ind w:left="987" w:hanging="545"/>
        <w:rPr>
          <w:rFonts w:ascii="Arial" w:hAnsi="Arial" w:cs="Arial"/>
          <w:lang w:val="es-ES"/>
        </w:rPr>
      </w:pPr>
      <w:r>
        <w:rPr>
          <w:rFonts w:ascii="Arial" w:hAnsi="Arial" w:cs="Arial"/>
          <w:lang w:val="es-ES"/>
        </w:rPr>
        <w:br w:type="page"/>
      </w:r>
    </w:p>
    <w:p w:rsidR="00E02C27" w:rsidRDefault="00E02C27" w:rsidP="006B5381">
      <w:pPr>
        <w:pStyle w:val="EstiloTitulo2"/>
      </w:pPr>
      <w:bookmarkStart w:id="3" w:name="_Toc444784422"/>
      <w:r>
        <w:lastRenderedPageBreak/>
        <w:t>Vocabulario Específico</w:t>
      </w:r>
      <w:bookmarkEnd w:id="3"/>
    </w:p>
    <w:tbl>
      <w:tblPr>
        <w:tblW w:w="8793" w:type="dxa"/>
        <w:jc w:val="center"/>
        <w:tblLayout w:type="fixed"/>
        <w:tblCellMar>
          <w:left w:w="70" w:type="dxa"/>
          <w:right w:w="70" w:type="dxa"/>
        </w:tblCellMar>
        <w:tblLook w:val="0000" w:firstRow="0" w:lastRow="0" w:firstColumn="0" w:lastColumn="0" w:noHBand="0" w:noVBand="0"/>
      </w:tblPr>
      <w:tblGrid>
        <w:gridCol w:w="1279"/>
        <w:gridCol w:w="7514"/>
      </w:tblGrid>
      <w:tr w:rsidR="00E02C27" w:rsidTr="00DF6726">
        <w:trPr>
          <w:trHeight w:val="80"/>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ACG</w:t>
            </w:r>
          </w:p>
        </w:tc>
        <w:tc>
          <w:tcPr>
            <w:tcW w:w="7514" w:type="dxa"/>
          </w:tcPr>
          <w:p w:rsidR="00E02C27" w:rsidRDefault="00E02C27">
            <w:pPr>
              <w:pStyle w:val="Normal1"/>
              <w:suppressAutoHyphens/>
              <w:spacing w:before="60" w:after="60"/>
              <w:ind w:firstLine="0"/>
              <w:rPr>
                <w:rFonts w:ascii="Arial" w:hAnsi="Arial" w:cs="Arial"/>
                <w:color w:val="000000"/>
              </w:rPr>
            </w:pPr>
            <w:r>
              <w:rPr>
                <w:rFonts w:ascii="Arial" w:hAnsi="Arial" w:cs="Arial"/>
                <w:color w:val="000000"/>
              </w:rPr>
              <w:t>Alto Caudal Garantizado</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ADSL</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Línea de Abonado Digital Asimétrica</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szCs w:val="24"/>
              </w:rPr>
              <w:t>AMLT</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Acceso Mayorista a la Línea Telefónica</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BE</w:t>
            </w:r>
          </w:p>
        </w:tc>
        <w:tc>
          <w:tcPr>
            <w:tcW w:w="7514" w:type="dxa"/>
          </w:tcPr>
          <w:p w:rsidR="00E02C27" w:rsidRDefault="00E02C27">
            <w:pPr>
              <w:pStyle w:val="Normal1"/>
              <w:suppressAutoHyphens/>
              <w:spacing w:before="60" w:after="60"/>
              <w:ind w:firstLine="0"/>
              <w:rPr>
                <w:rFonts w:ascii="Arial" w:hAnsi="Arial" w:cs="Arial"/>
                <w:lang w:val="en-GB"/>
              </w:rPr>
            </w:pPr>
            <w:r>
              <w:rPr>
                <w:rFonts w:ascii="Arial" w:hAnsi="Arial" w:cs="Arial"/>
                <w:szCs w:val="24"/>
                <w:lang w:val="en-GB"/>
              </w:rPr>
              <w:t>Best Effort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CAC</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Centro de Atención al Cliente</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CPE</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Equipo de Cliente (</w:t>
            </w:r>
            <w:r>
              <w:rPr>
                <w:rFonts w:ascii="Arial" w:hAnsi="Arial" w:cs="Arial"/>
                <w:i/>
                <w:szCs w:val="24"/>
              </w:rPr>
              <w:t>Customer Premises Equipment</w:t>
            </w:r>
            <w:r>
              <w:rPr>
                <w:rFonts w:ascii="Arial" w:hAnsi="Arial" w:cs="Arial"/>
                <w:szCs w:val="24"/>
              </w:rPr>
              <w: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CTO</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Caja Terminal Óptica</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DSLAM</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Multiplexor de Acceso a la Línea de Abonado Digital</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FTTx</w:t>
            </w:r>
          </w:p>
        </w:tc>
        <w:tc>
          <w:tcPr>
            <w:tcW w:w="7514" w:type="dxa"/>
          </w:tcPr>
          <w:p w:rsidR="00E02C27" w:rsidRDefault="00E02C27">
            <w:pPr>
              <w:pStyle w:val="Normal1"/>
              <w:suppressAutoHyphens/>
              <w:spacing w:before="60" w:after="60"/>
              <w:ind w:firstLine="0"/>
              <w:rPr>
                <w:rFonts w:ascii="Arial" w:hAnsi="Arial" w:cs="Arial"/>
                <w:lang w:val="en-GB"/>
              </w:rPr>
            </w:pPr>
            <w:r>
              <w:rPr>
                <w:rFonts w:ascii="Arial" w:hAnsi="Arial" w:cs="Arial"/>
                <w:lang w:val="en-GB"/>
              </w:rPr>
              <w:t>Fibra hasta x (</w:t>
            </w:r>
            <w:r>
              <w:rPr>
                <w:rFonts w:ascii="Arial" w:hAnsi="Arial" w:cs="Arial"/>
                <w:i/>
                <w:lang w:val="en-GB"/>
              </w:rPr>
              <w:t>Fiber to the x</w:t>
            </w:r>
            <w:r>
              <w:rPr>
                <w:rFonts w:ascii="Arial" w:hAnsi="Arial" w:cs="Arial"/>
                <w:lang w:val="en-GB"/>
              </w:rPr>
              <w: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FTTH</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Fibra hasta el hogar (</w:t>
            </w:r>
            <w:r>
              <w:rPr>
                <w:rFonts w:ascii="Arial" w:hAnsi="Arial" w:cs="Arial"/>
                <w:i/>
              </w:rPr>
              <w:t>Fiber to the Home</w:t>
            </w:r>
            <w:r>
              <w:rPr>
                <w:rFonts w:ascii="Arial" w:hAnsi="Arial" w:cs="Arial"/>
              </w:rPr>
              <w: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GPON</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Red óptica pasiva Gigabit (</w:t>
            </w:r>
            <w:r>
              <w:rPr>
                <w:rFonts w:ascii="Arial" w:hAnsi="Arial" w:cs="Arial"/>
                <w:i/>
              </w:rPr>
              <w:t>Gigabit Passive Optical Network</w:t>
            </w:r>
            <w:r>
              <w:rPr>
                <w:rFonts w:ascii="Arial" w:hAnsi="Arial" w:cs="Arial"/>
              </w:rPr>
              <w:t>)</w:t>
            </w:r>
          </w:p>
        </w:tc>
      </w:tr>
      <w:tr w:rsidR="00E02C27" w:rsidTr="00DF6726">
        <w:trPr>
          <w:trHeight w:val="80"/>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LAG</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color w:val="000000"/>
              </w:rPr>
              <w:t>Grupos de Agregación de Enlace (Link Aggregation Groups)</w:t>
            </w:r>
          </w:p>
        </w:tc>
      </w:tr>
      <w:tr w:rsidR="009F7590" w:rsidTr="00DF6726">
        <w:trPr>
          <w:trHeight w:val="80"/>
          <w:jc w:val="center"/>
        </w:trPr>
        <w:tc>
          <w:tcPr>
            <w:tcW w:w="1279" w:type="dxa"/>
          </w:tcPr>
          <w:p w:rsidR="009F7590" w:rsidRDefault="009F7590">
            <w:pPr>
              <w:pStyle w:val="Normal1"/>
              <w:suppressAutoHyphens/>
              <w:spacing w:before="60" w:after="60"/>
              <w:ind w:firstLine="0"/>
              <w:jc w:val="left"/>
              <w:rPr>
                <w:rFonts w:ascii="Arial" w:hAnsi="Arial" w:cs="Arial"/>
              </w:rPr>
            </w:pPr>
            <w:r>
              <w:rPr>
                <w:rFonts w:ascii="Arial" w:hAnsi="Arial" w:cs="Arial"/>
              </w:rPr>
              <w:t>NEON</w:t>
            </w:r>
          </w:p>
        </w:tc>
        <w:tc>
          <w:tcPr>
            <w:tcW w:w="7514" w:type="dxa"/>
          </w:tcPr>
          <w:p w:rsidR="009F7590" w:rsidRDefault="009F7590">
            <w:pPr>
              <w:pStyle w:val="Normal1"/>
              <w:suppressAutoHyphens/>
              <w:spacing w:before="60" w:after="60"/>
              <w:ind w:firstLine="0"/>
              <w:rPr>
                <w:rFonts w:ascii="Arial" w:hAnsi="Arial" w:cs="Arial"/>
                <w:color w:val="000000"/>
              </w:rPr>
            </w:pPr>
            <w:r>
              <w:rPr>
                <w:rFonts w:ascii="Arial" w:hAnsi="Arial" w:cs="Arial"/>
                <w:color w:val="000000"/>
              </w:rPr>
              <w:t>Nuevo Entorno de Operadores Nacional</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OBA</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Oferta Bucle Abonado</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OLT</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Equipo de terminación de línea óptica (</w:t>
            </w:r>
            <w:r>
              <w:rPr>
                <w:rFonts w:ascii="Arial" w:hAnsi="Arial" w:cs="Arial"/>
                <w:i/>
              </w:rPr>
              <w:t>Optical Line Termination</w:t>
            </w:r>
            <w:r>
              <w:rPr>
                <w:rFonts w:ascii="Arial" w:hAnsi="Arial" w:cs="Arial"/>
              </w:rPr>
              <w: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ONT</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Equipo de terminación de red óptica (</w:t>
            </w:r>
            <w:r>
              <w:rPr>
                <w:rFonts w:ascii="Arial" w:hAnsi="Arial" w:cs="Arial"/>
                <w:i/>
              </w:rPr>
              <w:t>Optical Network Termination</w:t>
            </w:r>
            <w:r>
              <w:rPr>
                <w:rFonts w:ascii="Arial" w:hAnsi="Arial" w:cs="Arial"/>
              </w:rPr>
              <w:t xml:space="preserve">). </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szCs w:val="24"/>
              </w:rPr>
              <w:t>PAI-E</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Punto de Acceso Indirecto Ethernet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szCs w:val="24"/>
              </w:rPr>
              <w:t>pPAI-E</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 xml:space="preserve">Puerto del </w:t>
            </w:r>
            <w:r>
              <w:rPr>
                <w:rFonts w:ascii="Arial" w:hAnsi="Arial" w:cs="Arial"/>
                <w:szCs w:val="24"/>
              </w:rPr>
              <w:t>Punto de Acceso Indirecto Ethernet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szCs w:val="24"/>
              </w:rPr>
              <w:t>POTS</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Servicio telefónico convencional, basado en conmutación de circuitos (</w:t>
            </w:r>
            <w:r>
              <w:rPr>
                <w:rFonts w:ascii="Arial" w:hAnsi="Arial" w:cs="Arial"/>
                <w:i/>
                <w:szCs w:val="24"/>
              </w:rPr>
              <w:t>Plain Old Telephone Service</w:t>
            </w:r>
            <w:r>
              <w:rPr>
                <w:rFonts w:ascii="Arial" w:hAnsi="Arial" w:cs="Arial"/>
                <w:szCs w:val="24"/>
              </w:rPr>
              <w:t>)</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Q-in-Q</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Técnica de encapsulado de VLANes de conformidad con la norma IEEE 801.1ad</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REM</w:t>
            </w:r>
          </w:p>
        </w:tc>
        <w:tc>
          <w:tcPr>
            <w:tcW w:w="7514" w:type="dxa"/>
          </w:tcPr>
          <w:p w:rsidR="00E02C27" w:rsidRDefault="00E02C27">
            <w:pPr>
              <w:pStyle w:val="Normal1"/>
              <w:suppressAutoHyphens/>
              <w:spacing w:before="60" w:after="60"/>
              <w:ind w:firstLine="0"/>
              <w:rPr>
                <w:rFonts w:ascii="Arial" w:hAnsi="Arial" w:cs="Arial"/>
                <w:lang w:val="en-GB"/>
              </w:rPr>
            </w:pPr>
            <w:r>
              <w:rPr>
                <w:rFonts w:ascii="Arial" w:hAnsi="Arial" w:cs="Arial"/>
                <w:lang w:val="en-GB"/>
              </w:rPr>
              <w:t>Red Ethernet Multiservicio</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RT</w:t>
            </w:r>
          </w:p>
        </w:tc>
        <w:tc>
          <w:tcPr>
            <w:tcW w:w="7514" w:type="dxa"/>
          </w:tcPr>
          <w:p w:rsidR="00E02C27" w:rsidRDefault="00E02C27">
            <w:pPr>
              <w:pStyle w:val="Normal1"/>
              <w:suppressAutoHyphens/>
              <w:spacing w:before="60" w:after="60"/>
              <w:ind w:firstLine="0"/>
              <w:rPr>
                <w:rFonts w:ascii="Arial" w:hAnsi="Arial" w:cs="Arial"/>
                <w:lang w:val="en-GB"/>
              </w:rPr>
            </w:pPr>
            <w:r>
              <w:rPr>
                <w:rFonts w:ascii="Arial" w:hAnsi="Arial" w:cs="Arial"/>
                <w:lang w:val="en-GB"/>
              </w:rPr>
              <w:t>Real Time</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STB</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Servicio Telefónico Básico</w:t>
            </w:r>
          </w:p>
        </w:tc>
      </w:tr>
      <w:tr w:rsidR="00E02C27" w:rsidTr="00DF6726">
        <w:trPr>
          <w:jc w:val="center"/>
        </w:trPr>
        <w:tc>
          <w:tcPr>
            <w:tcW w:w="1279" w:type="dxa"/>
          </w:tcPr>
          <w:p w:rsidR="00E02C27" w:rsidRDefault="009D686F">
            <w:pPr>
              <w:pStyle w:val="Normal1"/>
              <w:suppressAutoHyphens/>
              <w:spacing w:before="60" w:after="60"/>
              <w:ind w:firstLine="0"/>
              <w:jc w:val="left"/>
              <w:rPr>
                <w:rFonts w:ascii="Arial" w:hAnsi="Arial" w:cs="Arial"/>
              </w:rPr>
            </w:pPr>
            <w:r>
              <w:rPr>
                <w:rFonts w:ascii="Arial" w:hAnsi="Arial" w:cs="Arial"/>
              </w:rPr>
              <w:t>Telefónica</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szCs w:val="24"/>
              </w:rPr>
              <w:t>Telefónica España</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rPr>
            </w:pPr>
            <w:r>
              <w:rPr>
                <w:rFonts w:ascii="Arial" w:hAnsi="Arial" w:cs="Arial"/>
              </w:rPr>
              <w:t>VDSL</w:t>
            </w:r>
          </w:p>
        </w:tc>
        <w:tc>
          <w:tcPr>
            <w:tcW w:w="7514" w:type="dxa"/>
          </w:tcPr>
          <w:p w:rsidR="00E02C27" w:rsidRDefault="00E02C27">
            <w:pPr>
              <w:pStyle w:val="Normal1"/>
              <w:suppressAutoHyphens/>
              <w:spacing w:before="60" w:after="60"/>
              <w:ind w:firstLine="0"/>
              <w:rPr>
                <w:rFonts w:ascii="Arial" w:hAnsi="Arial" w:cs="Arial"/>
              </w:rPr>
            </w:pPr>
            <w:r>
              <w:rPr>
                <w:rFonts w:ascii="Arial" w:hAnsi="Arial" w:cs="Arial"/>
              </w:rPr>
              <w:t>Línea de Abonado Digital de Alta Velocidad</w:t>
            </w:r>
          </w:p>
        </w:tc>
      </w:tr>
      <w:tr w:rsidR="00E02C27" w:rsidTr="00DF6726">
        <w:trPr>
          <w:jc w:val="center"/>
        </w:trPr>
        <w:tc>
          <w:tcPr>
            <w:tcW w:w="1279" w:type="dxa"/>
          </w:tcPr>
          <w:p w:rsidR="00E02C27" w:rsidRDefault="00E02C27">
            <w:pPr>
              <w:pStyle w:val="Normal1"/>
              <w:suppressAutoHyphens/>
              <w:spacing w:before="60" w:after="60"/>
              <w:ind w:firstLine="0"/>
              <w:jc w:val="left"/>
              <w:rPr>
                <w:rFonts w:ascii="Arial" w:hAnsi="Arial" w:cs="Arial"/>
                <w:lang w:val="en-GB"/>
              </w:rPr>
            </w:pPr>
            <w:r>
              <w:rPr>
                <w:rFonts w:ascii="Arial" w:hAnsi="Arial" w:cs="Arial"/>
                <w:lang w:val="en-GB"/>
              </w:rPr>
              <w:t>WS</w:t>
            </w:r>
          </w:p>
        </w:tc>
        <w:tc>
          <w:tcPr>
            <w:tcW w:w="7514" w:type="dxa"/>
          </w:tcPr>
          <w:p w:rsidR="00E02C27" w:rsidRDefault="00E02C27">
            <w:pPr>
              <w:pStyle w:val="Normal1"/>
              <w:suppressAutoHyphens/>
              <w:spacing w:before="60" w:after="60"/>
              <w:ind w:firstLine="0"/>
              <w:rPr>
                <w:rFonts w:ascii="Arial" w:hAnsi="Arial" w:cs="Arial"/>
                <w:color w:val="000000"/>
                <w:lang w:val="en-GB"/>
              </w:rPr>
            </w:pPr>
            <w:r>
              <w:rPr>
                <w:rFonts w:ascii="Arial" w:hAnsi="Arial" w:cs="Arial"/>
                <w:color w:val="000000"/>
                <w:lang w:val="en-GB"/>
              </w:rPr>
              <w:t>Servicio web  (Web Service)</w:t>
            </w:r>
          </w:p>
        </w:tc>
      </w:tr>
    </w:tbl>
    <w:p w:rsidR="00E02C27" w:rsidRDefault="00E02C27">
      <w:pPr>
        <w:rPr>
          <w:lang w:val="en-GB"/>
        </w:rPr>
      </w:pPr>
    </w:p>
    <w:p w:rsidR="00E02C27" w:rsidRDefault="00E02C27">
      <w:pPr>
        <w:pStyle w:val="Textoindependiente"/>
        <w:ind w:left="1418" w:hanging="545"/>
        <w:rPr>
          <w:rFonts w:ascii="Arial" w:hAnsi="Arial" w:cs="Arial"/>
          <w:lang w:val="en-GB"/>
        </w:rPr>
      </w:pPr>
    </w:p>
    <w:p w:rsidR="00B45E19" w:rsidRDefault="00B45E19">
      <w:pPr>
        <w:pStyle w:val="Textoindependiente"/>
        <w:ind w:left="1418" w:hanging="545"/>
        <w:rPr>
          <w:rFonts w:ascii="Arial" w:hAnsi="Arial" w:cs="Arial"/>
          <w:lang w:val="en-GB"/>
        </w:rPr>
      </w:pPr>
    </w:p>
    <w:p w:rsidR="00E02C27" w:rsidRDefault="00E02C27" w:rsidP="006B5381">
      <w:pPr>
        <w:pStyle w:val="Textoindependiente"/>
        <w:ind w:left="0"/>
        <w:rPr>
          <w:rFonts w:ascii="Arial" w:hAnsi="Arial" w:cs="Arial"/>
          <w:lang w:val="en-GB"/>
        </w:rPr>
      </w:pPr>
    </w:p>
    <w:p w:rsidR="00E02C27" w:rsidRDefault="00E02C27" w:rsidP="006B5381">
      <w:pPr>
        <w:pStyle w:val="EstiloTitulo2"/>
      </w:pPr>
      <w:bookmarkStart w:id="4" w:name="_Toc444784423"/>
      <w:r>
        <w:lastRenderedPageBreak/>
        <w:t>Servicios Soporte para el NEBA</w:t>
      </w:r>
      <w:bookmarkEnd w:id="4"/>
    </w:p>
    <w:p w:rsidR="00E02C27" w:rsidRDefault="00E02C27">
      <w:pPr>
        <w:pStyle w:val="Textoindependiente"/>
        <w:ind w:left="1418" w:hanging="545"/>
        <w:rPr>
          <w:rFonts w:ascii="Arial" w:hAnsi="Arial" w:cs="Arial"/>
          <w:lang w:val="es-ES"/>
        </w:rPr>
      </w:pPr>
    </w:p>
    <w:p w:rsidR="00E02C27" w:rsidRDefault="00E02C27">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 xml:space="preserve">Los Servicios Soporte son el conjunto de Servicios que permiten establecer la Conexión de la Red del Operador con la de </w:t>
      </w:r>
      <w:r w:rsidR="009D686F">
        <w:rPr>
          <w:rFonts w:ascii="Arial" w:hAnsi="Arial" w:cs="Arial"/>
          <w:color w:val="000000"/>
          <w:sz w:val="24"/>
          <w:szCs w:val="24"/>
        </w:rPr>
        <w:t>Telefónica</w:t>
      </w:r>
      <w:r>
        <w:rPr>
          <w:rFonts w:ascii="Arial" w:hAnsi="Arial" w:cs="Arial"/>
          <w:color w:val="000000"/>
          <w:sz w:val="24"/>
          <w:szCs w:val="24"/>
        </w:rPr>
        <w:t>.</w:t>
      </w:r>
    </w:p>
    <w:p w:rsidR="00E02C27" w:rsidRDefault="00E02C27">
      <w:pPr>
        <w:pStyle w:val="Textoindependiente"/>
        <w:spacing w:before="60" w:after="60"/>
        <w:ind w:left="431"/>
        <w:rPr>
          <w:rFonts w:ascii="Arial" w:hAnsi="Arial" w:cs="Arial"/>
          <w:lang w:val="es-ES"/>
        </w:rPr>
      </w:pPr>
      <w:r>
        <w:rPr>
          <w:rFonts w:ascii="Arial" w:hAnsi="Arial" w:cs="Arial"/>
          <w:lang w:val="es-ES"/>
        </w:rPr>
        <w:t>Los elementos de los Servicios Soporte del NEBA son los siguientes:</w:t>
      </w:r>
    </w:p>
    <w:p w:rsidR="00E02C27" w:rsidRDefault="00E02C27">
      <w:pPr>
        <w:pStyle w:val="Textoindependiente"/>
        <w:numPr>
          <w:ilvl w:val="0"/>
          <w:numId w:val="37"/>
        </w:numPr>
        <w:tabs>
          <w:tab w:val="clear" w:pos="720"/>
          <w:tab w:val="num" w:pos="1151"/>
        </w:tabs>
        <w:spacing w:before="60" w:after="60"/>
        <w:ind w:left="1151"/>
        <w:rPr>
          <w:rFonts w:ascii="Arial" w:hAnsi="Arial" w:cs="Arial"/>
          <w:lang w:val="es-ES"/>
        </w:rPr>
      </w:pPr>
      <w:r>
        <w:rPr>
          <w:rFonts w:ascii="Arial" w:hAnsi="Arial" w:cs="Arial"/>
          <w:b/>
          <w:lang w:val="es-ES"/>
        </w:rPr>
        <w:t>Sector</w:t>
      </w:r>
      <w:r>
        <w:rPr>
          <w:rFonts w:ascii="Arial" w:hAnsi="Arial" w:cs="Arial"/>
          <w:lang w:val="es-ES"/>
        </w:rPr>
        <w:t xml:space="preserve">: ámbito asociado al conjunto de centrales en las que existen nodos de acceso susceptibles de ofrecer el servicio. Los sectores del servicio NEBA tienen ámbito provincial. Un Sector dispone de al menos un PAI-E. </w:t>
      </w:r>
    </w:p>
    <w:p w:rsidR="00E02C27" w:rsidRDefault="00E02C27">
      <w:pPr>
        <w:pStyle w:val="Textoindependiente"/>
        <w:numPr>
          <w:ilvl w:val="0"/>
          <w:numId w:val="37"/>
        </w:numPr>
        <w:tabs>
          <w:tab w:val="clear" w:pos="720"/>
          <w:tab w:val="num" w:pos="1151"/>
        </w:tabs>
        <w:spacing w:before="60" w:after="60"/>
        <w:ind w:left="1151"/>
        <w:rPr>
          <w:rFonts w:ascii="Arial" w:hAnsi="Arial" w:cs="Arial"/>
          <w:lang w:val="es-ES"/>
        </w:rPr>
      </w:pPr>
      <w:r>
        <w:rPr>
          <w:rFonts w:ascii="Arial" w:hAnsi="Arial" w:cs="Arial"/>
          <w:b/>
          <w:lang w:val="es-ES"/>
        </w:rPr>
        <w:t>PAI-E</w:t>
      </w:r>
      <w:r>
        <w:rPr>
          <w:rFonts w:ascii="Arial" w:hAnsi="Arial" w:cs="Arial"/>
          <w:lang w:val="es-ES"/>
        </w:rPr>
        <w:t xml:space="preserve"> (Punto de Acceso Indirecto Ethernet): puntos de entrega del servicio a nivel provincial. Agrupa los puertos (pPAI-E) o interfaces lógicas de entrega del servicio. </w:t>
      </w:r>
    </w:p>
    <w:p w:rsidR="00E02C27" w:rsidRDefault="00E02C27">
      <w:pPr>
        <w:pStyle w:val="Textoindependiente"/>
        <w:numPr>
          <w:ilvl w:val="0"/>
          <w:numId w:val="37"/>
        </w:numPr>
        <w:tabs>
          <w:tab w:val="clear" w:pos="720"/>
          <w:tab w:val="num" w:pos="1151"/>
        </w:tabs>
        <w:spacing w:before="60" w:after="60"/>
        <w:ind w:left="1151"/>
        <w:rPr>
          <w:rFonts w:ascii="Arial" w:hAnsi="Arial" w:cs="Arial"/>
          <w:lang w:val="es-ES"/>
        </w:rPr>
      </w:pPr>
      <w:r>
        <w:rPr>
          <w:rFonts w:ascii="Arial" w:hAnsi="Arial" w:cs="Arial"/>
          <w:b/>
          <w:lang w:val="es-ES"/>
        </w:rPr>
        <w:t>pPAI-E</w:t>
      </w:r>
      <w:r>
        <w:rPr>
          <w:rFonts w:ascii="Arial" w:hAnsi="Arial" w:cs="Arial"/>
          <w:lang w:val="es-ES"/>
        </w:rPr>
        <w:t>: puerto de un PAI-E. Es la interfaz física (puerto) en la que se entrega el tráfico de un Operador correspondiente a un determinado conjunto de nodos de acceso (DSLAM/OLT). En cada PAI-E, el Operador podrá contratar el puerto o los puertos que desee, cada uno de ellos con una capacidad, los denominados puertos de PAI-E (pPAI-E). Sobre dichos pPAI-E el operador hace tributar las conexiones o servicios de todos los clientes que contrate en la cobertura asociada al correspondiente PAI-E. Un Operador que desee prestar el servicio NEBA en un sector, deberá solicitar previamente el alta de, al menos, un pPAI-E. Su dimensionado puede tomar alguno de los valores indicados en el apartado 2.4 (Interfaz física de la entrega del servicio) de este documento.</w:t>
      </w:r>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El servicio NEBA entrega al Operador las conexiones de los clientes finales en al menos 50 PAI-E a través de interfaces Ethernet. </w:t>
      </w:r>
      <w:r w:rsidR="0000038A">
        <w:rPr>
          <w:rFonts w:ascii="Arial" w:hAnsi="Arial" w:cs="Arial"/>
          <w:lang w:val="es-ES"/>
        </w:rPr>
        <w:t>E</w:t>
      </w:r>
      <w:r>
        <w:rPr>
          <w:rFonts w:ascii="Arial" w:hAnsi="Arial" w:cs="Arial"/>
          <w:lang w:val="es-ES"/>
        </w:rPr>
        <w:t>n ciertas provincias podrán existir 2 centrales en las que se recoja el tráfico del servicio.</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Los Servicios Soporte son funcionalidades que </w:t>
      </w:r>
      <w:r w:rsidR="009D686F">
        <w:rPr>
          <w:rFonts w:ascii="Arial" w:hAnsi="Arial" w:cs="Arial"/>
          <w:lang w:val="es-ES"/>
        </w:rPr>
        <w:t>Telefónica</w:t>
      </w:r>
      <w:r>
        <w:rPr>
          <w:rFonts w:ascii="Arial" w:hAnsi="Arial" w:cs="Arial"/>
          <w:lang w:val="es-ES"/>
        </w:rPr>
        <w:t xml:space="preserve"> pone a disposición del Operador para que éste pueda contratar altas de interfaces y capacidades de caudal en cada una de las demarcaciones en las que pretenda ofrecer servicio a sus clientes finales, así como establecer otras funcionalidades conexas. Será necesario efectuar la contratación de las facilidades en los PAI-E a través de los Servicios Soporte antes de construir altas de servicios para clientes finales. </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Los Servicios Soporte requeridos en el NEBA son los siguientes: </w:t>
      </w:r>
    </w:p>
    <w:p w:rsidR="00E02C27" w:rsidRDefault="00E02C27">
      <w:pPr>
        <w:pStyle w:val="Textoindependiente"/>
        <w:numPr>
          <w:ilvl w:val="0"/>
          <w:numId w:val="38"/>
        </w:numPr>
        <w:tabs>
          <w:tab w:val="clear" w:pos="720"/>
          <w:tab w:val="num" w:pos="1151"/>
        </w:tabs>
        <w:spacing w:before="60" w:after="60"/>
        <w:ind w:left="1151"/>
        <w:rPr>
          <w:rFonts w:ascii="Arial" w:hAnsi="Arial" w:cs="Arial"/>
          <w:b/>
          <w:lang w:val="es-ES"/>
        </w:rPr>
      </w:pPr>
      <w:r>
        <w:rPr>
          <w:rFonts w:ascii="Arial" w:hAnsi="Arial" w:cs="Arial"/>
          <w:b/>
          <w:lang w:val="es-ES"/>
        </w:rPr>
        <w:t>pPAI-E</w:t>
      </w:r>
    </w:p>
    <w:p w:rsidR="00E02C27" w:rsidRDefault="000274C6">
      <w:pPr>
        <w:pStyle w:val="Textoindependiente"/>
        <w:numPr>
          <w:ilvl w:val="0"/>
          <w:numId w:val="38"/>
        </w:numPr>
        <w:tabs>
          <w:tab w:val="clear" w:pos="720"/>
          <w:tab w:val="num" w:pos="1151"/>
        </w:tabs>
        <w:spacing w:before="60" w:after="60"/>
        <w:ind w:left="1151"/>
        <w:rPr>
          <w:rFonts w:ascii="Arial" w:hAnsi="Arial" w:cs="Arial"/>
          <w:lang w:val="es-ES"/>
        </w:rPr>
      </w:pPr>
      <w:r>
        <w:rPr>
          <w:rFonts w:ascii="Arial" w:hAnsi="Arial" w:cs="Arial"/>
          <w:b/>
          <w:lang w:val="es-ES"/>
        </w:rPr>
        <w:t xml:space="preserve">Capacidad </w:t>
      </w:r>
      <w:r w:rsidR="00E02C27">
        <w:rPr>
          <w:rFonts w:ascii="Arial" w:hAnsi="Arial" w:cs="Arial"/>
          <w:b/>
          <w:lang w:val="es-ES"/>
        </w:rPr>
        <w:t>en el Sector</w:t>
      </w:r>
      <w:r w:rsidR="00E02C27">
        <w:rPr>
          <w:rFonts w:ascii="Arial" w:hAnsi="Arial" w:cs="Arial"/>
          <w:lang w:val="es-ES"/>
        </w:rPr>
        <w:t>: esta entidad informa de</w:t>
      </w:r>
      <w:r>
        <w:rPr>
          <w:rFonts w:ascii="Arial" w:hAnsi="Arial" w:cs="Arial"/>
          <w:lang w:val="es-ES"/>
        </w:rPr>
        <w:t xml:space="preserve"> </w:t>
      </w:r>
      <w:r w:rsidR="00E02C27">
        <w:rPr>
          <w:rFonts w:ascii="Arial" w:hAnsi="Arial" w:cs="Arial"/>
          <w:lang w:val="es-ES"/>
        </w:rPr>
        <w:t>l</w:t>
      </w:r>
      <w:r>
        <w:rPr>
          <w:rFonts w:ascii="Arial" w:hAnsi="Arial" w:cs="Arial"/>
          <w:lang w:val="es-ES"/>
        </w:rPr>
        <w:t>a</w:t>
      </w:r>
      <w:r w:rsidR="00E02C27">
        <w:rPr>
          <w:rFonts w:ascii="Arial" w:hAnsi="Arial" w:cs="Arial"/>
          <w:lang w:val="es-ES"/>
        </w:rPr>
        <w:t xml:space="preserve"> </w:t>
      </w:r>
      <w:r>
        <w:rPr>
          <w:rFonts w:ascii="Arial" w:hAnsi="Arial" w:cs="Arial"/>
          <w:lang w:val="es-ES"/>
        </w:rPr>
        <w:t xml:space="preserve">capacidad </w:t>
      </w:r>
      <w:r w:rsidR="00E02C27">
        <w:rPr>
          <w:rFonts w:ascii="Arial" w:hAnsi="Arial" w:cs="Arial"/>
          <w:lang w:val="es-ES"/>
        </w:rPr>
        <w:t xml:space="preserve">de cada calidad de servicio (QoS) que el operador contrata en un sector dado. El valor de esta entidad será la referencia a </w:t>
      </w:r>
      <w:r w:rsidR="009D686F">
        <w:rPr>
          <w:rFonts w:ascii="Arial" w:hAnsi="Arial" w:cs="Arial"/>
          <w:lang w:val="es-ES"/>
        </w:rPr>
        <w:t>Telefónica</w:t>
      </w:r>
      <w:r w:rsidR="00E02C27">
        <w:rPr>
          <w:rFonts w:ascii="Arial" w:hAnsi="Arial" w:cs="Arial"/>
          <w:lang w:val="es-ES"/>
        </w:rPr>
        <w:t xml:space="preserve"> para la medición.</w:t>
      </w:r>
    </w:p>
    <w:p w:rsidR="00E02C27" w:rsidRDefault="00E02C27">
      <w:pPr>
        <w:pStyle w:val="Textoindependiente"/>
        <w:spacing w:before="60" w:after="60"/>
        <w:ind w:left="998" w:hanging="545"/>
        <w:rPr>
          <w:rFonts w:ascii="Arial" w:hAnsi="Arial" w:cs="Arial"/>
          <w:lang w:val="es-ES"/>
        </w:rPr>
      </w:pPr>
      <w:r>
        <w:rPr>
          <w:rFonts w:ascii="Arial" w:hAnsi="Arial" w:cs="Arial"/>
          <w:lang w:val="es-ES"/>
        </w:rPr>
        <w:t>Los Servicios Soporte se contratarán a través de NEON.</w:t>
      </w:r>
    </w:p>
    <w:p w:rsidR="00E02C27" w:rsidRDefault="00E02C27" w:rsidP="00981B57">
      <w:pPr>
        <w:pStyle w:val="Textoindependiente"/>
        <w:spacing w:before="60" w:after="60"/>
        <w:ind w:left="0"/>
        <w:rPr>
          <w:rFonts w:ascii="Arial" w:hAnsi="Arial" w:cs="Arial"/>
          <w:lang w:val="es-ES"/>
        </w:rPr>
      </w:pPr>
    </w:p>
    <w:p w:rsidR="00E02C27" w:rsidRDefault="00E02C27" w:rsidP="006B5381">
      <w:pPr>
        <w:pStyle w:val="EstiloTitulo2"/>
      </w:pPr>
      <w:bookmarkStart w:id="5" w:name="_Toc444784424"/>
      <w:r>
        <w:t>Opciones de comercialización del servicio</w:t>
      </w:r>
      <w:bookmarkEnd w:id="5"/>
    </w:p>
    <w:p w:rsidR="00E02C27" w:rsidRDefault="00E02C27" w:rsidP="00611367">
      <w:pPr>
        <w:pStyle w:val="Textoindependiente"/>
        <w:spacing w:before="240" w:after="60"/>
        <w:ind w:left="431"/>
        <w:rPr>
          <w:rFonts w:ascii="Arial" w:hAnsi="Arial" w:cs="Arial"/>
          <w:lang w:val="es-ES"/>
        </w:rPr>
      </w:pPr>
      <w:r>
        <w:rPr>
          <w:rFonts w:ascii="Arial" w:hAnsi="Arial" w:cs="Arial"/>
          <w:lang w:val="es-ES"/>
        </w:rPr>
        <w:t xml:space="preserve">El servicio NEBA podrá contratarse tanto sobre la red de acceso de cobre (tecnologías ADSL2+ y VDSL2) </w:t>
      </w:r>
      <w:r w:rsidR="00611367">
        <w:rPr>
          <w:rFonts w:ascii="Arial" w:hAnsi="Arial" w:cs="Arial"/>
          <w:lang w:val="es-ES"/>
        </w:rPr>
        <w:t>en</w:t>
      </w:r>
      <w:r>
        <w:rPr>
          <w:rFonts w:ascii="Arial" w:hAnsi="Arial" w:cs="Arial"/>
          <w:lang w:val="es-ES"/>
        </w:rPr>
        <w:t xml:space="preserve"> nodos de acceso compatibles y en cobertura, </w:t>
      </w:r>
      <w:r w:rsidR="00611367">
        <w:rPr>
          <w:rFonts w:ascii="Arial" w:hAnsi="Arial" w:cs="Arial"/>
          <w:lang w:val="es-ES"/>
        </w:rPr>
        <w:t>com</w:t>
      </w:r>
      <w:r>
        <w:rPr>
          <w:rFonts w:ascii="Arial" w:hAnsi="Arial" w:cs="Arial"/>
          <w:lang w:val="es-ES"/>
        </w:rPr>
        <w:t>o sobre la red de acceso de fibra (FTTH).</w:t>
      </w:r>
      <w:r w:rsidR="005523D0">
        <w:rPr>
          <w:rFonts w:ascii="Arial" w:hAnsi="Arial" w:cs="Arial"/>
          <w:lang w:val="es-ES"/>
        </w:rPr>
        <w:t xml:space="preserve"> La obligación de acceso de Telefónica está sometida a la segmentación geográfica definida en el análisis de mercado vigente</w:t>
      </w:r>
      <w:r w:rsidR="005523D0">
        <w:rPr>
          <w:rStyle w:val="Refdenotaalpie"/>
          <w:rFonts w:ascii="Arial" w:hAnsi="Arial" w:cs="Arial"/>
          <w:lang w:val="es-ES"/>
        </w:rPr>
        <w:footnoteReference w:id="2"/>
      </w:r>
      <w:r w:rsidR="005523D0">
        <w:rPr>
          <w:rFonts w:ascii="Arial" w:hAnsi="Arial" w:cs="Arial"/>
          <w:lang w:val="es-ES"/>
        </w:rPr>
        <w:t>.</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En caso de la red de acceso de cobre, la contratación podrá ser una de las siguientes: </w:t>
      </w:r>
    </w:p>
    <w:p w:rsidR="00E02C27" w:rsidRDefault="00E02C27">
      <w:pPr>
        <w:pStyle w:val="Textoindependiente"/>
        <w:numPr>
          <w:ilvl w:val="0"/>
          <w:numId w:val="25"/>
        </w:numPr>
        <w:tabs>
          <w:tab w:val="clear" w:pos="1211"/>
          <w:tab w:val="num" w:pos="791"/>
        </w:tabs>
        <w:spacing w:before="60" w:after="60"/>
        <w:ind w:left="791"/>
        <w:rPr>
          <w:rFonts w:ascii="Arial" w:hAnsi="Arial" w:cs="Arial"/>
          <w:lang w:val="es-ES"/>
        </w:rPr>
      </w:pPr>
      <w:r>
        <w:rPr>
          <w:rFonts w:ascii="Arial" w:hAnsi="Arial" w:cs="Arial"/>
          <w:lang w:val="es-ES"/>
        </w:rPr>
        <w:t xml:space="preserve">Sobre un acceso en el que exista previamente un servicio de voz (STB), ya sea servicio minorista de </w:t>
      </w:r>
      <w:r w:rsidR="009D686F">
        <w:rPr>
          <w:rFonts w:ascii="Arial" w:hAnsi="Arial" w:cs="Arial"/>
          <w:lang w:val="es-ES"/>
        </w:rPr>
        <w:t>Telefónica</w:t>
      </w:r>
      <w:r>
        <w:rPr>
          <w:rFonts w:ascii="Arial" w:hAnsi="Arial" w:cs="Arial"/>
          <w:lang w:val="es-ES"/>
        </w:rPr>
        <w:t xml:space="preserve"> o el servicio mayorista AMLT. En este caso, el servicio contratado podrá </w:t>
      </w:r>
    </w:p>
    <w:p w:rsidR="00E02C27" w:rsidRDefault="00E02C27">
      <w:pPr>
        <w:pStyle w:val="Textoindependiente"/>
        <w:numPr>
          <w:ilvl w:val="0"/>
          <w:numId w:val="26"/>
        </w:numPr>
        <w:tabs>
          <w:tab w:val="clear" w:pos="1778"/>
          <w:tab w:val="num" w:pos="1358"/>
        </w:tabs>
        <w:spacing w:before="60" w:after="60"/>
        <w:ind w:left="1358"/>
        <w:rPr>
          <w:rFonts w:ascii="Arial" w:hAnsi="Arial" w:cs="Arial"/>
          <w:lang w:val="es-ES"/>
        </w:rPr>
      </w:pPr>
      <w:r>
        <w:rPr>
          <w:rFonts w:ascii="Arial" w:hAnsi="Arial" w:cs="Arial"/>
          <w:lang w:val="es-ES"/>
        </w:rPr>
        <w:t>seguir coexistiendo con el servicio preexistente, o</w:t>
      </w:r>
    </w:p>
    <w:p w:rsidR="00E02C27" w:rsidRDefault="00E02C27">
      <w:pPr>
        <w:pStyle w:val="Textoindependiente"/>
        <w:numPr>
          <w:ilvl w:val="0"/>
          <w:numId w:val="26"/>
        </w:numPr>
        <w:tabs>
          <w:tab w:val="clear" w:pos="1778"/>
          <w:tab w:val="num" w:pos="1358"/>
        </w:tabs>
        <w:spacing w:before="60" w:after="60"/>
        <w:ind w:left="1358"/>
        <w:rPr>
          <w:rFonts w:ascii="Arial" w:hAnsi="Arial" w:cs="Arial"/>
          <w:lang w:val="es-ES"/>
        </w:rPr>
      </w:pPr>
      <w:r>
        <w:rPr>
          <w:rFonts w:ascii="Arial" w:hAnsi="Arial" w:cs="Arial"/>
          <w:lang w:val="es-ES"/>
        </w:rPr>
        <w:t xml:space="preserve">ser solicitado como servicio sin STB, es decir, suprimiendo dicha coexistencia (NEBA sin STB) </w:t>
      </w:r>
    </w:p>
    <w:p w:rsidR="00E02C27" w:rsidRDefault="00E02C27">
      <w:pPr>
        <w:pStyle w:val="Textoindependiente"/>
        <w:spacing w:before="60" w:after="60"/>
        <w:ind w:left="791"/>
        <w:rPr>
          <w:rFonts w:ascii="Arial" w:hAnsi="Arial" w:cs="Arial"/>
          <w:lang w:val="es-ES"/>
        </w:rPr>
      </w:pPr>
      <w:r>
        <w:rPr>
          <w:rFonts w:ascii="Arial" w:hAnsi="Arial" w:cs="Arial"/>
          <w:lang w:val="es-ES"/>
        </w:rPr>
        <w:t>En ambos casos se trata de un alta sobre ocupado, en este caso sobre una línea con STB preexistente.</w:t>
      </w:r>
    </w:p>
    <w:p w:rsidR="00E02C27" w:rsidRDefault="00E02C27">
      <w:pPr>
        <w:pStyle w:val="Textoindependiente"/>
        <w:numPr>
          <w:ilvl w:val="0"/>
          <w:numId w:val="25"/>
        </w:numPr>
        <w:tabs>
          <w:tab w:val="clear" w:pos="1211"/>
          <w:tab w:val="num" w:pos="791"/>
        </w:tabs>
        <w:spacing w:before="60" w:after="60"/>
        <w:ind w:left="791"/>
        <w:rPr>
          <w:rFonts w:ascii="Arial" w:hAnsi="Arial" w:cs="Arial"/>
          <w:lang w:val="es-ES"/>
        </w:rPr>
      </w:pPr>
      <w:r>
        <w:rPr>
          <w:rFonts w:ascii="Arial" w:hAnsi="Arial" w:cs="Arial"/>
          <w:lang w:val="es-ES"/>
        </w:rPr>
        <w:t xml:space="preserve">Sobre un acceso en el que exista previamente un servicio de banda ancha, con o sin STB, ya sea éste un servicio minorista de </w:t>
      </w:r>
      <w:r w:rsidR="009D686F">
        <w:rPr>
          <w:rFonts w:ascii="Arial" w:hAnsi="Arial" w:cs="Arial"/>
          <w:lang w:val="es-ES"/>
        </w:rPr>
        <w:t>Telefónica</w:t>
      </w:r>
      <w:r>
        <w:rPr>
          <w:rFonts w:ascii="Arial" w:hAnsi="Arial" w:cs="Arial"/>
          <w:lang w:val="es-ES"/>
        </w:rPr>
        <w:t xml:space="preserve"> o un servicio de acceso indirecto de otro operador: alta sobre ocupado en la que se sustituye la BA preexistente.</w:t>
      </w:r>
    </w:p>
    <w:p w:rsidR="00E02C27" w:rsidRDefault="00E02C27">
      <w:pPr>
        <w:pStyle w:val="Textoindependiente"/>
        <w:numPr>
          <w:ilvl w:val="0"/>
          <w:numId w:val="25"/>
        </w:numPr>
        <w:tabs>
          <w:tab w:val="clear" w:pos="1211"/>
          <w:tab w:val="num" w:pos="791"/>
        </w:tabs>
        <w:spacing w:before="60" w:after="60"/>
        <w:ind w:left="791"/>
        <w:rPr>
          <w:rFonts w:ascii="Arial" w:hAnsi="Arial" w:cs="Arial"/>
          <w:lang w:val="es-ES"/>
        </w:rPr>
      </w:pPr>
      <w:r>
        <w:rPr>
          <w:rFonts w:ascii="Arial" w:hAnsi="Arial" w:cs="Arial"/>
          <w:lang w:val="es-ES"/>
        </w:rPr>
        <w:t>Sobre un acceso en el que el operador disponga ya de un servicio NEBA sobre el que dicho operador desee cambiar algún parámetro, por ejemplo, contratación de una calidad de servicio adicional a la(s) existente(s) en dicho acceso. En este caso, el operador deberá solicitar una modificación del servicio existente.</w:t>
      </w:r>
    </w:p>
    <w:p w:rsidR="00E02C27" w:rsidRDefault="00E02C27">
      <w:pPr>
        <w:pStyle w:val="Textoindependiente"/>
        <w:numPr>
          <w:ilvl w:val="0"/>
          <w:numId w:val="25"/>
        </w:numPr>
        <w:tabs>
          <w:tab w:val="clear" w:pos="1211"/>
          <w:tab w:val="num" w:pos="791"/>
        </w:tabs>
        <w:spacing w:before="60" w:after="60"/>
        <w:ind w:left="791"/>
        <w:rPr>
          <w:rFonts w:ascii="Arial" w:hAnsi="Arial" w:cs="Arial"/>
          <w:lang w:val="es-ES"/>
        </w:rPr>
      </w:pPr>
      <w:r>
        <w:rPr>
          <w:rFonts w:ascii="Arial" w:hAnsi="Arial" w:cs="Arial"/>
          <w:lang w:val="es-ES"/>
        </w:rPr>
        <w:t>Sobre vacante, es decir, para un cliente que no dispone de acceso de BA ni STB. En este caso, es condición necesaria la existencia de recursos de red asociados a dicho domicilio: alta sobre vacante.</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En </w:t>
      </w:r>
      <w:r w:rsidR="00C03E28">
        <w:rPr>
          <w:rFonts w:ascii="Arial" w:hAnsi="Arial" w:cs="Arial"/>
          <w:lang w:val="es-ES"/>
        </w:rPr>
        <w:t xml:space="preserve">el </w:t>
      </w:r>
      <w:r>
        <w:rPr>
          <w:rFonts w:ascii="Arial" w:hAnsi="Arial" w:cs="Arial"/>
          <w:lang w:val="es-ES"/>
        </w:rPr>
        <w:t xml:space="preserve">caso de </w:t>
      </w:r>
      <w:r w:rsidR="00C03E28">
        <w:rPr>
          <w:rFonts w:ascii="Arial" w:hAnsi="Arial" w:cs="Arial"/>
          <w:lang w:val="es-ES"/>
        </w:rPr>
        <w:t xml:space="preserve">la </w:t>
      </w:r>
      <w:r>
        <w:rPr>
          <w:rFonts w:ascii="Arial" w:hAnsi="Arial" w:cs="Arial"/>
          <w:lang w:val="es-ES"/>
        </w:rPr>
        <w:t xml:space="preserve">red de acceso de fibra (FTTH), la existencia de cobertura en un domicilio viene dada por la existencia de una CTO que </w:t>
      </w:r>
      <w:r w:rsidR="002A7C1F">
        <w:rPr>
          <w:rFonts w:ascii="Arial" w:hAnsi="Arial" w:cs="Arial"/>
          <w:lang w:val="es-ES"/>
        </w:rPr>
        <w:t xml:space="preserve">dé </w:t>
      </w:r>
      <w:r>
        <w:rPr>
          <w:rFonts w:ascii="Arial" w:hAnsi="Arial" w:cs="Arial"/>
          <w:lang w:val="es-ES"/>
        </w:rPr>
        <w:t xml:space="preserve">cobertura al mismo. En ese caso, pueden darse cualquiera de las tres situaciones de contratación: 1) alta sobre ocupado (lógicamente excluyendo las consideraciones sobre STB y AMLT), 2) alta sobre vacante y 3) modificación. No obstante, el caso de alta sobre vacante exige consideraciones específicas en función de la situación de la acometida del domicilio de interés: </w:t>
      </w:r>
    </w:p>
    <w:p w:rsidR="00E02C27" w:rsidRDefault="00E02C27">
      <w:pPr>
        <w:pStyle w:val="Textoindependiente"/>
        <w:numPr>
          <w:ilvl w:val="0"/>
          <w:numId w:val="26"/>
        </w:numPr>
        <w:tabs>
          <w:tab w:val="clear" w:pos="1778"/>
          <w:tab w:val="num" w:pos="1358"/>
        </w:tabs>
        <w:spacing w:before="60" w:after="60"/>
        <w:ind w:left="1358"/>
        <w:rPr>
          <w:rFonts w:ascii="Arial" w:hAnsi="Arial" w:cs="Arial"/>
          <w:lang w:val="es-ES"/>
        </w:rPr>
      </w:pPr>
      <w:r>
        <w:rPr>
          <w:rFonts w:ascii="Arial" w:hAnsi="Arial" w:cs="Arial"/>
          <w:lang w:val="es-ES"/>
        </w:rPr>
        <w:t>Acceso no tendido (acometida no tendida)</w:t>
      </w:r>
    </w:p>
    <w:p w:rsidR="00E02C27" w:rsidRDefault="00E02C27">
      <w:pPr>
        <w:pStyle w:val="Textoindependiente"/>
        <w:numPr>
          <w:ilvl w:val="0"/>
          <w:numId w:val="26"/>
        </w:numPr>
        <w:tabs>
          <w:tab w:val="clear" w:pos="1778"/>
          <w:tab w:val="num" w:pos="1358"/>
        </w:tabs>
        <w:spacing w:before="60" w:after="60"/>
        <w:ind w:left="1358"/>
        <w:rPr>
          <w:rFonts w:ascii="Arial" w:hAnsi="Arial" w:cs="Arial"/>
          <w:lang w:val="es-ES"/>
        </w:rPr>
      </w:pPr>
      <w:r>
        <w:rPr>
          <w:rFonts w:ascii="Arial" w:hAnsi="Arial" w:cs="Arial"/>
          <w:lang w:val="es-ES"/>
        </w:rPr>
        <w:t>Acceso preexistente (acometida tendida pero sin servicio)</w:t>
      </w:r>
    </w:p>
    <w:p w:rsidR="00E02C27" w:rsidRDefault="00E02C27">
      <w:pPr>
        <w:pStyle w:val="Textoindependiente"/>
        <w:numPr>
          <w:ilvl w:val="0"/>
          <w:numId w:val="26"/>
        </w:numPr>
        <w:tabs>
          <w:tab w:val="clear" w:pos="1778"/>
          <w:tab w:val="num" w:pos="1358"/>
        </w:tabs>
        <w:spacing w:before="60" w:after="60"/>
        <w:ind w:left="1358"/>
        <w:rPr>
          <w:rFonts w:ascii="Arial" w:hAnsi="Arial" w:cs="Arial"/>
          <w:lang w:val="es-ES"/>
        </w:rPr>
      </w:pPr>
      <w:r>
        <w:rPr>
          <w:rFonts w:ascii="Arial" w:hAnsi="Arial" w:cs="Arial"/>
          <w:lang w:val="es-ES"/>
        </w:rPr>
        <w:t>Acceso en situación de uso compartido de verticales</w:t>
      </w:r>
    </w:p>
    <w:p w:rsidR="00E02C27" w:rsidRDefault="00E02C27">
      <w:pPr>
        <w:pStyle w:val="Textoindependiente"/>
        <w:spacing w:before="60" w:after="60"/>
        <w:ind w:left="431"/>
        <w:rPr>
          <w:rFonts w:ascii="Arial" w:hAnsi="Arial" w:cs="Arial"/>
          <w:lang w:val="es-ES"/>
        </w:rPr>
      </w:pPr>
      <w:r>
        <w:rPr>
          <w:rFonts w:ascii="Arial" w:hAnsi="Arial" w:cs="Arial"/>
          <w:lang w:val="es-ES"/>
        </w:rPr>
        <w:t>Cada una de las opciones de comercialización del servicio tendrá unas condiciones de comercialización (incluido precio) específicas en función de los recursos y actividades necesarias para atender la solicitud del servicio.</w:t>
      </w:r>
    </w:p>
    <w:p w:rsidR="00E02C27" w:rsidRDefault="00E02C27">
      <w:pPr>
        <w:pStyle w:val="Textoindependiente"/>
        <w:spacing w:before="60" w:after="60"/>
        <w:ind w:left="431" w:firstLine="22"/>
        <w:rPr>
          <w:rFonts w:ascii="Arial" w:hAnsi="Arial" w:cs="Arial"/>
          <w:lang w:val="es-ES"/>
        </w:rPr>
      </w:pPr>
      <w:r>
        <w:rPr>
          <w:rFonts w:ascii="Arial" w:hAnsi="Arial" w:cs="Arial"/>
          <w:lang w:val="es-ES"/>
        </w:rPr>
        <w:t xml:space="preserve">Para más detalles acerca sobre opciones de comercialización, véase el apartado </w:t>
      </w:r>
      <w:r>
        <w:rPr>
          <w:rFonts w:ascii="Arial" w:hAnsi="Arial" w:cs="Arial"/>
          <w:i/>
          <w:lang w:val="es-ES"/>
        </w:rPr>
        <w:t xml:space="preserve">3.7. </w:t>
      </w:r>
      <w:r>
        <w:rPr>
          <w:rFonts w:ascii="Arial" w:hAnsi="Arial" w:cs="Arial"/>
          <w:lang w:val="es-ES"/>
        </w:rPr>
        <w:t>“</w:t>
      </w:r>
      <w:r>
        <w:rPr>
          <w:rFonts w:ascii="Arial" w:hAnsi="Arial" w:cs="Arial"/>
          <w:i/>
          <w:lang w:val="es-ES"/>
        </w:rPr>
        <w:t>Movimientos</w:t>
      </w:r>
      <w:r>
        <w:rPr>
          <w:rFonts w:ascii="Arial" w:hAnsi="Arial" w:cs="Arial"/>
          <w:lang w:val="es-ES"/>
        </w:rPr>
        <w:t xml:space="preserve">” de este documento. </w:t>
      </w:r>
    </w:p>
    <w:p w:rsidR="004A077E" w:rsidRPr="00381430" w:rsidRDefault="004A077E" w:rsidP="004A077E">
      <w:pPr>
        <w:pStyle w:val="Textoindependiente"/>
        <w:spacing w:before="60" w:after="60"/>
        <w:ind w:left="998" w:hanging="545"/>
        <w:rPr>
          <w:rFonts w:ascii="Arial" w:hAnsi="Arial" w:cs="Arial"/>
          <w:sz w:val="16"/>
          <w:szCs w:val="16"/>
          <w:lang w:val="es-ES"/>
        </w:rPr>
      </w:pPr>
    </w:p>
    <w:p w:rsidR="00E02C27" w:rsidRDefault="00E02C27" w:rsidP="006B5381">
      <w:pPr>
        <w:pStyle w:val="EstiloTitulo2"/>
      </w:pPr>
      <w:bookmarkStart w:id="6" w:name="_Toc444784425"/>
      <w:r>
        <w:t>Calidades del servicio</w:t>
      </w:r>
      <w:bookmarkEnd w:id="6"/>
    </w:p>
    <w:p w:rsidR="00E02C27" w:rsidRDefault="00E02C27">
      <w:pPr>
        <w:pStyle w:val="Textoindependiente"/>
        <w:spacing w:before="240" w:after="60"/>
        <w:ind w:left="431"/>
        <w:rPr>
          <w:rFonts w:ascii="Arial" w:hAnsi="Arial" w:cs="Arial"/>
          <w:lang w:val="es-ES"/>
        </w:rPr>
      </w:pPr>
      <w:r>
        <w:rPr>
          <w:rFonts w:ascii="Arial" w:hAnsi="Arial" w:cs="Arial"/>
          <w:lang w:val="es-ES"/>
        </w:rPr>
        <w:t>Se definen, en principio, tres posibles calidades de servicio (QoS) disponibles para cada una de las tecnologías:</w:t>
      </w:r>
    </w:p>
    <w:p w:rsidR="00E02C27" w:rsidRDefault="00E02C27">
      <w:pPr>
        <w:numPr>
          <w:ilvl w:val="0"/>
          <w:numId w:val="39"/>
        </w:numPr>
        <w:tabs>
          <w:tab w:val="clear" w:pos="720"/>
          <w:tab w:val="num" w:pos="1151"/>
        </w:tabs>
        <w:spacing w:before="60" w:after="60"/>
        <w:ind w:left="1151"/>
        <w:rPr>
          <w:rFonts w:ascii="Arial" w:hAnsi="Arial" w:cs="Arial"/>
          <w:sz w:val="24"/>
          <w:szCs w:val="24"/>
        </w:rPr>
      </w:pPr>
      <w:r>
        <w:rPr>
          <w:rFonts w:ascii="Arial" w:hAnsi="Arial" w:cs="Arial"/>
          <w:sz w:val="24"/>
          <w:szCs w:val="24"/>
          <w:u w:val="single"/>
          <w:lang w:val="en-GB"/>
        </w:rPr>
        <w:t>Calidad 1: Best Effort (BE)</w:t>
      </w:r>
      <w:r>
        <w:rPr>
          <w:rFonts w:ascii="Arial" w:hAnsi="Arial" w:cs="Arial"/>
          <w:sz w:val="24"/>
          <w:szCs w:val="24"/>
          <w:lang w:val="en-GB"/>
        </w:rPr>
        <w:t xml:space="preserve"> - orientado a acceso a Internet. </w:t>
      </w:r>
      <w:r>
        <w:rPr>
          <w:rFonts w:ascii="Arial" w:hAnsi="Arial" w:cs="Arial"/>
          <w:sz w:val="24"/>
          <w:szCs w:val="24"/>
        </w:rPr>
        <w:t>Tendrá asociado como SLA un valor de pérdida de paquetes para un porcentaje del tiempo</w:t>
      </w:r>
    </w:p>
    <w:p w:rsidR="00E02C27" w:rsidRDefault="00E02C27">
      <w:pPr>
        <w:numPr>
          <w:ilvl w:val="0"/>
          <w:numId w:val="39"/>
        </w:numPr>
        <w:tabs>
          <w:tab w:val="clear" w:pos="720"/>
          <w:tab w:val="num" w:pos="1151"/>
        </w:tabs>
        <w:spacing w:before="60" w:after="60"/>
        <w:ind w:left="1151"/>
        <w:rPr>
          <w:rFonts w:ascii="Arial" w:hAnsi="Arial" w:cs="Arial"/>
          <w:sz w:val="24"/>
          <w:szCs w:val="24"/>
        </w:rPr>
      </w:pPr>
      <w:r>
        <w:rPr>
          <w:rFonts w:ascii="Arial" w:hAnsi="Arial" w:cs="Arial"/>
          <w:sz w:val="24"/>
          <w:szCs w:val="24"/>
          <w:u w:val="single"/>
        </w:rPr>
        <w:t>Calidad 2: Oro</w:t>
      </w:r>
      <w:r>
        <w:rPr>
          <w:rFonts w:ascii="Arial" w:hAnsi="Arial" w:cs="Arial"/>
          <w:sz w:val="24"/>
          <w:szCs w:val="24"/>
        </w:rPr>
        <w:t xml:space="preserve"> - orientado a tráfico de Empresas. Este tráfico es prioritario respecto al Best Effort y tendrá asociados SLA de valores de pérdida de paquetes para un porcentaje del tiempo y retardo.</w:t>
      </w:r>
    </w:p>
    <w:p w:rsidR="00E02C27" w:rsidRDefault="00E02C27">
      <w:pPr>
        <w:numPr>
          <w:ilvl w:val="0"/>
          <w:numId w:val="39"/>
        </w:numPr>
        <w:tabs>
          <w:tab w:val="clear" w:pos="720"/>
          <w:tab w:val="num" w:pos="1151"/>
        </w:tabs>
        <w:spacing w:before="60" w:after="60"/>
        <w:ind w:left="1151"/>
        <w:rPr>
          <w:rFonts w:ascii="Arial" w:hAnsi="Arial" w:cs="Arial"/>
          <w:sz w:val="24"/>
          <w:szCs w:val="24"/>
        </w:rPr>
      </w:pPr>
      <w:r>
        <w:rPr>
          <w:rFonts w:ascii="Arial" w:hAnsi="Arial" w:cs="Arial"/>
          <w:sz w:val="24"/>
          <w:szCs w:val="24"/>
          <w:u w:val="single"/>
        </w:rPr>
        <w:t>Calidad 3: Real time (RT)</w:t>
      </w:r>
      <w:r>
        <w:rPr>
          <w:rFonts w:ascii="Arial" w:hAnsi="Arial" w:cs="Arial"/>
          <w:sz w:val="24"/>
          <w:szCs w:val="24"/>
        </w:rPr>
        <w:t xml:space="preserve"> - orientado a servicios de VoIP. Este tráfico es prioritario respecto a la calidad Oro. Tendrá asociados SLA de valores de pérdida de paquetes para un porcentaje del tiempo y retardo inferiores a los de la calidad Oro y un parámetro adicional de variación de retardo (jitter).</w:t>
      </w:r>
    </w:p>
    <w:p w:rsidR="00E02C27" w:rsidRDefault="00E02C27">
      <w:pPr>
        <w:pStyle w:val="Textoindependiente"/>
        <w:spacing w:before="240" w:after="60"/>
        <w:ind w:left="431"/>
        <w:rPr>
          <w:rFonts w:ascii="Arial" w:hAnsi="Arial" w:cs="Arial"/>
          <w:lang w:val="es-ES"/>
        </w:rPr>
      </w:pPr>
      <w:r>
        <w:rPr>
          <w:rFonts w:ascii="Arial" w:hAnsi="Arial" w:cs="Arial"/>
          <w:lang w:val="es-ES"/>
        </w:rPr>
        <w:t>En función de la tecnología de acceso, en un mismo acceso se podrá contratar un servicio NEBA que incluya varias calidades de servicio diferentes (QoS), según el esquema siguiente:</w:t>
      </w:r>
    </w:p>
    <w:p w:rsidR="00E02C27" w:rsidRPr="00381430" w:rsidRDefault="00E02C27">
      <w:pPr>
        <w:pStyle w:val="Textoindependiente"/>
        <w:spacing w:before="60" w:after="60"/>
        <w:ind w:left="709"/>
        <w:rPr>
          <w:rFonts w:ascii="Arial" w:hAnsi="Arial" w:cs="Arial"/>
          <w:sz w:val="16"/>
          <w:szCs w:val="16"/>
          <w:lang w:val="es-ES"/>
        </w:rPr>
      </w:pPr>
    </w:p>
    <w:tbl>
      <w:tblPr>
        <w:tblW w:w="9163" w:type="dxa"/>
        <w:jc w:val="center"/>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98"/>
        <w:gridCol w:w="2663"/>
        <w:gridCol w:w="3902"/>
      </w:tblGrid>
      <w:tr w:rsidR="00E02C27" w:rsidTr="005C7327">
        <w:trPr>
          <w:jc w:val="center"/>
        </w:trPr>
        <w:tc>
          <w:tcPr>
            <w:tcW w:w="2598" w:type="dxa"/>
          </w:tcPr>
          <w:p w:rsidR="00E02C27" w:rsidRDefault="00E02C27">
            <w:pPr>
              <w:pStyle w:val="Textoindependiente"/>
              <w:spacing w:before="60" w:after="60"/>
              <w:ind w:left="0"/>
              <w:jc w:val="center"/>
              <w:rPr>
                <w:rFonts w:ascii="Arial" w:hAnsi="Arial" w:cs="Arial"/>
                <w:sz w:val="22"/>
                <w:szCs w:val="22"/>
                <w:lang w:val="es-ES"/>
              </w:rPr>
            </w:pPr>
            <w:r>
              <w:rPr>
                <w:rFonts w:ascii="Arial" w:hAnsi="Arial" w:cs="Arial"/>
                <w:sz w:val="22"/>
                <w:szCs w:val="22"/>
                <w:lang w:val="es-ES"/>
              </w:rPr>
              <w:t>una QoS (para ADSL2+, VDSL2  y FTTH)</w:t>
            </w:r>
          </w:p>
        </w:tc>
        <w:tc>
          <w:tcPr>
            <w:tcW w:w="2663" w:type="dxa"/>
          </w:tcPr>
          <w:p w:rsidR="00E02C27" w:rsidRDefault="00E02C27">
            <w:pPr>
              <w:pStyle w:val="Textoindependiente"/>
              <w:spacing w:before="60" w:after="60"/>
              <w:ind w:left="0"/>
              <w:jc w:val="center"/>
              <w:rPr>
                <w:rFonts w:ascii="Arial" w:hAnsi="Arial" w:cs="Arial"/>
                <w:sz w:val="22"/>
                <w:szCs w:val="22"/>
                <w:lang w:val="es-ES"/>
              </w:rPr>
            </w:pPr>
            <w:r>
              <w:rPr>
                <w:rFonts w:ascii="Arial" w:hAnsi="Arial" w:cs="Arial"/>
                <w:sz w:val="22"/>
                <w:szCs w:val="22"/>
                <w:lang w:val="es-ES"/>
              </w:rPr>
              <w:t>dos QoS (para ADSL2+, VDSL2 y FTTH)</w:t>
            </w:r>
          </w:p>
        </w:tc>
        <w:tc>
          <w:tcPr>
            <w:tcW w:w="3902" w:type="dxa"/>
          </w:tcPr>
          <w:p w:rsidR="00E02C27" w:rsidRDefault="00E02C27">
            <w:pPr>
              <w:pStyle w:val="Textoindependiente"/>
              <w:spacing w:before="60" w:after="60"/>
              <w:ind w:left="0"/>
              <w:jc w:val="center"/>
              <w:rPr>
                <w:rFonts w:ascii="Arial" w:hAnsi="Arial" w:cs="Arial"/>
                <w:sz w:val="22"/>
                <w:szCs w:val="22"/>
                <w:lang w:val="es-ES"/>
              </w:rPr>
            </w:pPr>
            <w:r>
              <w:rPr>
                <w:rFonts w:ascii="Arial" w:hAnsi="Arial" w:cs="Arial"/>
                <w:sz w:val="22"/>
                <w:szCs w:val="22"/>
                <w:lang w:val="es-ES"/>
              </w:rPr>
              <w:t>tres QoS (para VDSL2 y FTTH</w:t>
            </w:r>
            <w:r w:rsidR="00244620">
              <w:rPr>
                <w:rFonts w:ascii="Arial" w:hAnsi="Arial" w:cs="Arial"/>
                <w:sz w:val="22"/>
                <w:szCs w:val="22"/>
                <w:lang w:val="es-ES"/>
              </w:rPr>
              <w:t>, ADSL2+ a estudiar</w:t>
            </w:r>
            <w:r>
              <w:rPr>
                <w:rFonts w:ascii="Arial" w:hAnsi="Arial" w:cs="Arial"/>
                <w:sz w:val="22"/>
                <w:szCs w:val="22"/>
                <w:lang w:val="es-ES"/>
              </w:rPr>
              <w:t>)</w:t>
            </w:r>
          </w:p>
        </w:tc>
      </w:tr>
      <w:tr w:rsidR="00E02C27" w:rsidRPr="00AE7BBC" w:rsidTr="005C7327">
        <w:trPr>
          <w:jc w:val="center"/>
        </w:trPr>
        <w:tc>
          <w:tcPr>
            <w:tcW w:w="2598" w:type="dxa"/>
          </w:tcPr>
          <w:p w:rsidR="00E02C27" w:rsidRDefault="00E02C27">
            <w:pPr>
              <w:pStyle w:val="Textoindependiente"/>
              <w:numPr>
                <w:ilvl w:val="0"/>
                <w:numId w:val="52"/>
              </w:numPr>
              <w:tabs>
                <w:tab w:val="clear" w:pos="-1065"/>
              </w:tabs>
              <w:spacing w:before="60" w:after="60"/>
              <w:ind w:left="714" w:hanging="357"/>
              <w:rPr>
                <w:rFonts w:ascii="Arial" w:hAnsi="Arial" w:cs="Arial"/>
                <w:sz w:val="22"/>
                <w:szCs w:val="22"/>
                <w:lang w:val="en-GB"/>
              </w:rPr>
            </w:pPr>
            <w:r>
              <w:rPr>
                <w:rFonts w:ascii="Arial" w:hAnsi="Arial" w:cs="Arial"/>
                <w:sz w:val="22"/>
                <w:szCs w:val="22"/>
                <w:lang w:val="en-GB"/>
              </w:rPr>
              <w:t>“Real Time”</w:t>
            </w:r>
          </w:p>
          <w:p w:rsidR="00E02C27" w:rsidRDefault="00E02C27">
            <w:pPr>
              <w:pStyle w:val="Textoindependiente"/>
              <w:numPr>
                <w:ilvl w:val="0"/>
                <w:numId w:val="52"/>
              </w:numPr>
              <w:tabs>
                <w:tab w:val="clear" w:pos="-1065"/>
              </w:tabs>
              <w:spacing w:before="60" w:after="60"/>
              <w:ind w:left="714" w:hanging="357"/>
              <w:rPr>
                <w:rFonts w:ascii="Arial" w:hAnsi="Arial" w:cs="Arial"/>
                <w:sz w:val="22"/>
                <w:szCs w:val="22"/>
                <w:lang w:val="en-GB"/>
              </w:rPr>
            </w:pPr>
            <w:r>
              <w:rPr>
                <w:rFonts w:ascii="Arial" w:hAnsi="Arial" w:cs="Arial"/>
                <w:sz w:val="22"/>
                <w:szCs w:val="22"/>
                <w:lang w:val="en-GB"/>
              </w:rPr>
              <w:t>“Best Effort”</w:t>
            </w:r>
          </w:p>
          <w:p w:rsidR="00E02C27" w:rsidRDefault="00E02C27">
            <w:pPr>
              <w:pStyle w:val="Textoindependiente"/>
              <w:numPr>
                <w:ilvl w:val="0"/>
                <w:numId w:val="52"/>
              </w:numPr>
              <w:tabs>
                <w:tab w:val="clear" w:pos="-1065"/>
              </w:tabs>
              <w:spacing w:before="60" w:after="60"/>
              <w:ind w:left="714" w:hanging="357"/>
              <w:rPr>
                <w:rFonts w:ascii="Arial" w:hAnsi="Arial" w:cs="Arial"/>
                <w:sz w:val="22"/>
                <w:szCs w:val="22"/>
                <w:lang w:val="en-GB"/>
              </w:rPr>
            </w:pPr>
            <w:r>
              <w:rPr>
                <w:rFonts w:ascii="Arial" w:hAnsi="Arial" w:cs="Arial"/>
                <w:sz w:val="22"/>
                <w:szCs w:val="22"/>
                <w:lang w:val="en-GB"/>
              </w:rPr>
              <w:t>“ORO”</w:t>
            </w:r>
          </w:p>
        </w:tc>
        <w:tc>
          <w:tcPr>
            <w:tcW w:w="2663" w:type="dxa"/>
          </w:tcPr>
          <w:p w:rsidR="00E02C27" w:rsidRDefault="00E02C27">
            <w:pPr>
              <w:pStyle w:val="Textoindependiente"/>
              <w:numPr>
                <w:ilvl w:val="0"/>
                <w:numId w:val="53"/>
              </w:numPr>
              <w:spacing w:before="60" w:after="60"/>
              <w:rPr>
                <w:rFonts w:ascii="Arial" w:hAnsi="Arial" w:cs="Arial"/>
                <w:sz w:val="22"/>
                <w:szCs w:val="22"/>
                <w:lang w:val="en-GB"/>
              </w:rPr>
            </w:pPr>
            <w:r>
              <w:rPr>
                <w:rFonts w:ascii="Arial" w:hAnsi="Arial" w:cs="Arial"/>
                <w:sz w:val="22"/>
                <w:szCs w:val="22"/>
                <w:lang w:val="en-GB"/>
              </w:rPr>
              <w:t>“Best Effort – Real Time”</w:t>
            </w:r>
          </w:p>
          <w:p w:rsidR="00E02C27" w:rsidRDefault="00E02C27">
            <w:pPr>
              <w:pStyle w:val="Textoindependiente"/>
              <w:numPr>
                <w:ilvl w:val="0"/>
                <w:numId w:val="53"/>
              </w:numPr>
              <w:spacing w:before="60" w:after="60"/>
              <w:rPr>
                <w:rFonts w:ascii="Arial" w:hAnsi="Arial" w:cs="Arial"/>
                <w:sz w:val="22"/>
                <w:szCs w:val="22"/>
                <w:lang w:val="en-GB"/>
              </w:rPr>
            </w:pPr>
            <w:r>
              <w:rPr>
                <w:rFonts w:ascii="Arial" w:hAnsi="Arial" w:cs="Arial"/>
                <w:sz w:val="22"/>
                <w:szCs w:val="22"/>
                <w:lang w:val="en-GB"/>
              </w:rPr>
              <w:t>“ORO –</w:t>
            </w:r>
            <w:r w:rsidR="0020682D">
              <w:rPr>
                <w:rFonts w:ascii="Arial" w:hAnsi="Arial" w:cs="Arial"/>
                <w:sz w:val="22"/>
                <w:szCs w:val="22"/>
                <w:lang w:val="en-GB"/>
              </w:rPr>
              <w:t xml:space="preserve"> </w:t>
            </w:r>
            <w:r>
              <w:rPr>
                <w:rFonts w:ascii="Arial" w:hAnsi="Arial" w:cs="Arial"/>
                <w:sz w:val="22"/>
                <w:szCs w:val="22"/>
                <w:lang w:val="en-GB"/>
              </w:rPr>
              <w:t>Real Time ”</w:t>
            </w:r>
          </w:p>
          <w:p w:rsidR="00E2588F" w:rsidRPr="0020682D" w:rsidRDefault="00BC0BE5">
            <w:pPr>
              <w:pStyle w:val="Textoindependiente"/>
              <w:numPr>
                <w:ilvl w:val="0"/>
                <w:numId w:val="53"/>
              </w:numPr>
              <w:spacing w:before="60" w:after="60"/>
              <w:rPr>
                <w:rFonts w:ascii="Arial" w:hAnsi="Arial" w:cs="Arial"/>
                <w:sz w:val="22"/>
                <w:szCs w:val="22"/>
                <w:lang w:val="es-ES"/>
              </w:rPr>
            </w:pPr>
            <w:r>
              <w:rPr>
                <w:rFonts w:ascii="Arial" w:hAnsi="Arial" w:cs="Arial"/>
                <w:sz w:val="22"/>
                <w:szCs w:val="22"/>
                <w:lang w:val="es-ES"/>
              </w:rPr>
              <w:t xml:space="preserve">Best Effort </w:t>
            </w:r>
            <w:r w:rsidRPr="00BC0BE5">
              <w:rPr>
                <w:rFonts w:ascii="Arial" w:hAnsi="Arial" w:cs="Arial"/>
                <w:sz w:val="22"/>
                <w:szCs w:val="22"/>
                <w:lang w:val="es-ES"/>
              </w:rPr>
              <w:t xml:space="preserve">– </w:t>
            </w:r>
            <w:r w:rsidR="00E2588F" w:rsidRPr="0020682D">
              <w:rPr>
                <w:rFonts w:ascii="Arial" w:hAnsi="Arial" w:cs="Arial"/>
                <w:sz w:val="22"/>
                <w:szCs w:val="22"/>
                <w:lang w:val="es-ES"/>
              </w:rPr>
              <w:t>Oro a estudiar en un futuro</w:t>
            </w:r>
          </w:p>
        </w:tc>
        <w:tc>
          <w:tcPr>
            <w:tcW w:w="3902" w:type="dxa"/>
          </w:tcPr>
          <w:p w:rsidR="00E02C27" w:rsidRDefault="00E02C27">
            <w:pPr>
              <w:pStyle w:val="Textoindependiente"/>
              <w:numPr>
                <w:ilvl w:val="0"/>
                <w:numId w:val="54"/>
              </w:numPr>
              <w:spacing w:before="60" w:after="60"/>
              <w:rPr>
                <w:rFonts w:ascii="Arial" w:hAnsi="Arial" w:cs="Arial"/>
                <w:sz w:val="22"/>
                <w:szCs w:val="22"/>
                <w:lang w:val="en-GB"/>
              </w:rPr>
            </w:pPr>
            <w:r>
              <w:rPr>
                <w:rFonts w:ascii="Arial" w:hAnsi="Arial" w:cs="Arial"/>
                <w:sz w:val="22"/>
                <w:szCs w:val="22"/>
                <w:lang w:val="en-GB"/>
              </w:rPr>
              <w:t>“Best Effort –</w:t>
            </w:r>
            <w:r w:rsidR="0020682D">
              <w:rPr>
                <w:rFonts w:ascii="Arial" w:hAnsi="Arial" w:cs="Arial"/>
                <w:sz w:val="22"/>
                <w:szCs w:val="22"/>
                <w:lang w:val="en-GB"/>
              </w:rPr>
              <w:t xml:space="preserve"> </w:t>
            </w:r>
            <w:r>
              <w:rPr>
                <w:rFonts w:ascii="Arial" w:hAnsi="Arial" w:cs="Arial"/>
                <w:sz w:val="22"/>
                <w:szCs w:val="22"/>
                <w:lang w:val="en-GB"/>
              </w:rPr>
              <w:t>Oro</w:t>
            </w:r>
            <w:r w:rsidR="0020682D">
              <w:rPr>
                <w:rFonts w:ascii="Arial" w:hAnsi="Arial" w:cs="Arial"/>
                <w:sz w:val="22"/>
                <w:szCs w:val="22"/>
                <w:lang w:val="en-GB"/>
              </w:rPr>
              <w:t xml:space="preserve"> – </w:t>
            </w:r>
            <w:r>
              <w:rPr>
                <w:rFonts w:ascii="Arial" w:hAnsi="Arial" w:cs="Arial"/>
                <w:sz w:val="22"/>
                <w:szCs w:val="22"/>
                <w:lang w:val="en-GB"/>
              </w:rPr>
              <w:t>Real Time”</w:t>
            </w:r>
          </w:p>
        </w:tc>
      </w:tr>
    </w:tbl>
    <w:p w:rsidR="00E02C27" w:rsidRPr="00381430" w:rsidRDefault="00E02C27">
      <w:pPr>
        <w:pStyle w:val="Textoindependiente"/>
        <w:spacing w:before="60" w:after="60"/>
        <w:ind w:left="431"/>
        <w:rPr>
          <w:rFonts w:ascii="Arial" w:hAnsi="Arial" w:cs="Arial"/>
          <w:sz w:val="16"/>
          <w:szCs w:val="16"/>
          <w:lang w:val="en-GB"/>
        </w:rPr>
      </w:pP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En el apartado 1.3. “Modalidades del servicio”, se detallan los perfiles contratables en función de la tecnología de acceso y las combinaciones de QoS. </w:t>
      </w:r>
    </w:p>
    <w:p w:rsidR="00E02C27" w:rsidRDefault="00E02C27">
      <w:pPr>
        <w:pStyle w:val="Textoindependiente"/>
        <w:spacing w:before="60" w:after="60"/>
        <w:ind w:left="426"/>
        <w:rPr>
          <w:rFonts w:ascii="Arial" w:hAnsi="Arial" w:cs="Arial"/>
          <w:lang w:val="es-ES"/>
        </w:rPr>
      </w:pPr>
      <w:r>
        <w:rPr>
          <w:rFonts w:ascii="Arial" w:hAnsi="Arial" w:cs="Arial"/>
          <w:lang w:val="es-ES"/>
        </w:rPr>
        <w:t>El comportamiento del tráfico de cada calidad de servicio (QoS) en función de la tecnología de acceso sobre la que se construya el servicio es el siguiente:</w:t>
      </w:r>
    </w:p>
    <w:p w:rsidR="00E02C27" w:rsidRDefault="00E02C27">
      <w:pPr>
        <w:pStyle w:val="Textoindependiente"/>
        <w:numPr>
          <w:ilvl w:val="0"/>
          <w:numId w:val="41"/>
        </w:numPr>
        <w:tabs>
          <w:tab w:val="num" w:pos="643"/>
        </w:tabs>
        <w:spacing w:before="60" w:after="60"/>
        <w:ind w:left="786"/>
        <w:rPr>
          <w:rFonts w:ascii="Arial" w:hAnsi="Arial" w:cs="Arial"/>
          <w:i/>
          <w:iCs/>
          <w:u w:val="single"/>
          <w:lang w:val="es-ES"/>
        </w:rPr>
      </w:pPr>
      <w:r>
        <w:rPr>
          <w:rFonts w:ascii="Arial" w:hAnsi="Arial" w:cs="Arial"/>
          <w:i/>
          <w:iCs/>
          <w:u w:val="single"/>
          <w:lang w:val="es-ES"/>
        </w:rPr>
        <w:t>Conexiones sobre tecnología ADSL2+</w:t>
      </w:r>
    </w:p>
    <w:p w:rsidR="00E02C27" w:rsidRDefault="00E02C27">
      <w:pPr>
        <w:pStyle w:val="Textoindependiente"/>
        <w:spacing w:before="60" w:after="60"/>
        <w:ind w:left="1188" w:hanging="545"/>
        <w:rPr>
          <w:rFonts w:ascii="Arial" w:hAnsi="Arial" w:cs="Arial"/>
          <w:lang w:val="es-ES"/>
        </w:rPr>
      </w:pPr>
      <w:r>
        <w:rPr>
          <w:rFonts w:ascii="Arial" w:hAnsi="Arial" w:cs="Arial"/>
          <w:lang w:val="es-ES"/>
        </w:rPr>
        <w:t>El tráfico se priorizará según la QoS, siendo el orden de prioridad el siguiente:</w:t>
      </w:r>
    </w:p>
    <w:p w:rsidR="00E02C27" w:rsidRDefault="00E02C27">
      <w:pPr>
        <w:pStyle w:val="Textoindependiente"/>
        <w:numPr>
          <w:ilvl w:val="1"/>
          <w:numId w:val="41"/>
        </w:numPr>
        <w:spacing w:before="60" w:after="60"/>
        <w:rPr>
          <w:rFonts w:ascii="Arial" w:hAnsi="Arial" w:cs="Arial"/>
          <w:lang w:val="es-ES"/>
        </w:rPr>
      </w:pPr>
      <w:r>
        <w:rPr>
          <w:rFonts w:ascii="Arial" w:hAnsi="Arial" w:cs="Arial"/>
          <w:lang w:val="es-ES"/>
        </w:rPr>
        <w:t>Real Time, RT (el más prioritario)</w:t>
      </w:r>
    </w:p>
    <w:p w:rsidR="00E02C27" w:rsidRDefault="00E02C27">
      <w:pPr>
        <w:pStyle w:val="Textoindependiente"/>
        <w:numPr>
          <w:ilvl w:val="1"/>
          <w:numId w:val="41"/>
        </w:numPr>
        <w:spacing w:before="60" w:after="60"/>
        <w:rPr>
          <w:rFonts w:ascii="Arial" w:hAnsi="Arial" w:cs="Arial"/>
          <w:lang w:val="es-ES"/>
        </w:rPr>
      </w:pPr>
      <w:r>
        <w:rPr>
          <w:rFonts w:ascii="Arial" w:hAnsi="Arial" w:cs="Arial"/>
          <w:lang w:val="es-ES"/>
        </w:rPr>
        <w:t>Oro (menos prioritario que RT, pero más prioritario que Best Effort)</w:t>
      </w:r>
    </w:p>
    <w:p w:rsidR="00E02C27" w:rsidRPr="005C7327" w:rsidRDefault="00E02C27">
      <w:pPr>
        <w:pStyle w:val="Textoindependiente"/>
        <w:numPr>
          <w:ilvl w:val="1"/>
          <w:numId w:val="41"/>
        </w:numPr>
        <w:spacing w:before="60" w:after="60"/>
        <w:rPr>
          <w:rFonts w:ascii="Arial" w:hAnsi="Arial" w:cs="Arial"/>
          <w:lang w:val="en-GB"/>
        </w:rPr>
      </w:pPr>
      <w:r w:rsidRPr="005C7327">
        <w:rPr>
          <w:rFonts w:ascii="Arial" w:hAnsi="Arial" w:cs="Arial"/>
          <w:lang w:val="en-GB"/>
        </w:rPr>
        <w:t>Best Effort, BE (el menos prioritario)</w:t>
      </w:r>
    </w:p>
    <w:p w:rsidR="00E02C27" w:rsidRDefault="00E02C27" w:rsidP="007A51C8">
      <w:pPr>
        <w:pStyle w:val="Textoindependiente"/>
        <w:spacing w:before="60" w:after="60"/>
        <w:ind w:left="641"/>
        <w:rPr>
          <w:rFonts w:ascii="Arial" w:hAnsi="Arial" w:cs="Arial"/>
          <w:lang w:val="es-ES"/>
        </w:rPr>
      </w:pPr>
      <w:r>
        <w:rPr>
          <w:rFonts w:ascii="Arial" w:hAnsi="Arial" w:cs="Arial"/>
          <w:lang w:val="es-ES"/>
        </w:rPr>
        <w:t>El tráfico BE se ajustará a la velocidad de sincronización de la línea</w:t>
      </w:r>
      <w:r>
        <w:rPr>
          <w:rFonts w:ascii="Arial" w:hAnsi="Arial" w:cs="Arial"/>
          <w:vertAlign w:val="superscript"/>
          <w:lang w:val="es-ES"/>
        </w:rPr>
        <w:footnoteReference w:id="3"/>
      </w:r>
      <w:r>
        <w:rPr>
          <w:rFonts w:ascii="Arial" w:hAnsi="Arial" w:cs="Arial"/>
          <w:lang w:val="es-ES"/>
        </w:rPr>
        <w:t xml:space="preserve"> ocupando así todo el ancho de banda de la línea salvo que existan tráficos de calidades superiores. En ese caso, el tráfico BE reducirá su caudal todo lo que demanden los tráficos ORO </w:t>
      </w:r>
      <w:r w:rsidR="007A51C8">
        <w:rPr>
          <w:rFonts w:ascii="Arial" w:hAnsi="Arial" w:cs="Arial"/>
          <w:lang w:val="es-ES"/>
        </w:rPr>
        <w:t xml:space="preserve">o </w:t>
      </w:r>
      <w:r>
        <w:rPr>
          <w:rFonts w:ascii="Arial" w:hAnsi="Arial" w:cs="Arial"/>
          <w:lang w:val="es-ES"/>
        </w:rPr>
        <w:t xml:space="preserve">RT (ver tabla de combinaciones disponibles), que podrán alcanzar el valor máximo contratado para los mismos. Lo mismo ocurre con el tráfico ORO, que ocupará el máximo ancho de banda si coexiste con el RT y reducirá su caudal en la medida que el tráfico RT esté presente. </w:t>
      </w:r>
    </w:p>
    <w:p w:rsidR="00E02C27" w:rsidRDefault="00E02C27">
      <w:pPr>
        <w:pStyle w:val="Textoindependiente"/>
        <w:numPr>
          <w:ilvl w:val="0"/>
          <w:numId w:val="41"/>
        </w:numPr>
        <w:tabs>
          <w:tab w:val="num" w:pos="643"/>
        </w:tabs>
        <w:spacing w:before="60" w:after="60"/>
        <w:ind w:left="786"/>
        <w:rPr>
          <w:rFonts w:ascii="Arial" w:hAnsi="Arial" w:cs="Arial"/>
          <w:i/>
          <w:iCs/>
          <w:u w:val="single"/>
          <w:lang w:val="es-ES"/>
        </w:rPr>
      </w:pPr>
      <w:r>
        <w:rPr>
          <w:rFonts w:ascii="Arial" w:hAnsi="Arial" w:cs="Arial"/>
          <w:i/>
          <w:iCs/>
          <w:u w:val="single"/>
          <w:lang w:val="es-ES"/>
        </w:rPr>
        <w:t>Conexiones sobre tecnologías VDSL2 y GPON:</w:t>
      </w:r>
    </w:p>
    <w:p w:rsidR="00E02C27" w:rsidRDefault="00E02C27">
      <w:pPr>
        <w:pStyle w:val="Textoindependiente"/>
        <w:spacing w:before="60" w:after="60"/>
        <w:ind w:left="643"/>
        <w:rPr>
          <w:rFonts w:ascii="Arial" w:hAnsi="Arial" w:cs="Arial"/>
          <w:lang w:val="es-ES"/>
        </w:rPr>
      </w:pPr>
      <w:r>
        <w:rPr>
          <w:rFonts w:ascii="Arial" w:hAnsi="Arial" w:cs="Arial"/>
          <w:lang w:val="es-ES"/>
        </w:rPr>
        <w:t>El tráfico de cada QoS se ajustará al caudal contratado para la misma con independencia del tráfico de otras calidades cursado en el mismo acceso. Es decir, se aplica un criterio de utilización del ancho de banda por servicio/QoS. No se modificará el marcado de paquetes de una determinada QoS para aplicar otra calidad. Los caudales de las modalidades BE, ORO y RT estarán sujetos a la velocidad contratada (velocidad máxima) mediante mecanismos de “</w:t>
      </w:r>
      <w:r>
        <w:rPr>
          <w:rFonts w:ascii="Arial" w:hAnsi="Arial" w:cs="Arial"/>
          <w:i/>
          <w:lang w:val="es-ES"/>
        </w:rPr>
        <w:t>rate limit</w:t>
      </w:r>
      <w:r>
        <w:rPr>
          <w:rFonts w:ascii="Arial" w:hAnsi="Arial" w:cs="Arial"/>
          <w:lang w:val="es-ES"/>
        </w:rPr>
        <w:t xml:space="preserve">” implementados en los nodos de acceso. </w:t>
      </w:r>
    </w:p>
    <w:p w:rsidR="00E02C27" w:rsidRDefault="00E02C27">
      <w:pPr>
        <w:pStyle w:val="Textoindependiente"/>
        <w:spacing w:before="60" w:after="60"/>
        <w:ind w:left="567" w:hanging="545"/>
        <w:rPr>
          <w:rFonts w:ascii="Arial" w:hAnsi="Arial" w:cs="Arial"/>
          <w:color w:val="FF0000"/>
          <w:lang w:val="es-ES"/>
        </w:rPr>
      </w:pPr>
    </w:p>
    <w:p w:rsidR="00E02C27" w:rsidRDefault="00E02C27" w:rsidP="006B5381">
      <w:pPr>
        <w:pStyle w:val="EstiloTitulo2"/>
      </w:pPr>
      <w:bookmarkStart w:id="7" w:name="_Toc444784426"/>
      <w:r>
        <w:t>Cobertura</w:t>
      </w:r>
      <w:bookmarkEnd w:id="7"/>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Tal como se ha expuesto, las características del servicio hacen que éste se pueda ofrecer sobre la planta siguiente de </w:t>
      </w:r>
      <w:r w:rsidR="009D686F">
        <w:rPr>
          <w:rFonts w:ascii="Arial" w:hAnsi="Arial" w:cs="Arial"/>
          <w:lang w:val="es-ES"/>
        </w:rPr>
        <w:t>Telefónica</w:t>
      </w:r>
      <w:r>
        <w:rPr>
          <w:rFonts w:ascii="Arial" w:hAnsi="Arial" w:cs="Arial"/>
          <w:lang w:val="es-ES"/>
        </w:rPr>
        <w:t>:</w:t>
      </w:r>
    </w:p>
    <w:p w:rsidR="00E02C27" w:rsidRDefault="00E02C27">
      <w:pPr>
        <w:pStyle w:val="Textoindependiente"/>
        <w:numPr>
          <w:ilvl w:val="0"/>
          <w:numId w:val="40"/>
        </w:numPr>
        <w:tabs>
          <w:tab w:val="clear" w:pos="720"/>
          <w:tab w:val="num" w:pos="1151"/>
        </w:tabs>
        <w:spacing w:before="60" w:after="60"/>
        <w:ind w:left="1151"/>
        <w:rPr>
          <w:rFonts w:ascii="Arial" w:hAnsi="Arial" w:cs="Arial"/>
          <w:lang w:val="es-ES"/>
        </w:rPr>
      </w:pPr>
      <w:r>
        <w:rPr>
          <w:rFonts w:ascii="Arial" w:hAnsi="Arial" w:cs="Arial"/>
          <w:lang w:val="es-ES"/>
        </w:rPr>
        <w:t>tecnología de acceso xDSL (ADSL2+ o VDSL2): se corresponde inicialmente a aquellas zonas donde los DSLAM IP sean del modelo ISAM (del suministrador Alcatel-Lucent, ALU)</w:t>
      </w:r>
      <w:r w:rsidR="000F2BAC">
        <w:rPr>
          <w:rFonts w:ascii="Arial" w:hAnsi="Arial" w:cs="Arial"/>
          <w:lang w:val="es-ES"/>
        </w:rPr>
        <w:t xml:space="preserve"> y los de Huawei que sean compatibles con </w:t>
      </w:r>
      <w:r w:rsidR="004D5E53">
        <w:rPr>
          <w:rFonts w:ascii="Arial" w:hAnsi="Arial" w:cs="Arial"/>
          <w:lang w:val="es-ES"/>
        </w:rPr>
        <w:t>el servicio</w:t>
      </w:r>
      <w:r>
        <w:rPr>
          <w:rFonts w:ascii="Arial" w:hAnsi="Arial" w:cs="Arial"/>
          <w:lang w:val="es-ES"/>
        </w:rPr>
        <w:t xml:space="preserve">. </w:t>
      </w:r>
    </w:p>
    <w:p w:rsidR="00E02C27" w:rsidRDefault="00E02C27" w:rsidP="001725F5">
      <w:pPr>
        <w:pStyle w:val="Textoindependiente"/>
        <w:numPr>
          <w:ilvl w:val="1"/>
          <w:numId w:val="40"/>
        </w:numPr>
        <w:spacing w:before="60" w:after="60"/>
        <w:rPr>
          <w:rFonts w:ascii="Arial" w:hAnsi="Arial" w:cs="Arial"/>
          <w:lang w:val="es-ES"/>
        </w:rPr>
      </w:pPr>
      <w:r>
        <w:rPr>
          <w:rFonts w:ascii="Arial" w:hAnsi="Arial" w:cs="Arial"/>
          <w:lang w:val="es-ES"/>
        </w:rPr>
        <w:t xml:space="preserve">La cobertura de esta tecnología en bucles pasados es del </w:t>
      </w:r>
      <w:r w:rsidR="00F576B2">
        <w:rPr>
          <w:rFonts w:ascii="Arial" w:hAnsi="Arial" w:cs="Arial"/>
          <w:lang w:val="es-ES"/>
        </w:rPr>
        <w:t>26</w:t>
      </w:r>
      <w:r>
        <w:rPr>
          <w:rFonts w:ascii="Arial" w:hAnsi="Arial" w:cs="Arial"/>
          <w:lang w:val="es-ES"/>
        </w:rPr>
        <w:t>% en zona no OBA</w:t>
      </w:r>
      <w:r>
        <w:rPr>
          <w:rStyle w:val="Refdenotaalpie"/>
          <w:rFonts w:ascii="Arial" w:hAnsi="Arial" w:cs="Arial"/>
          <w:lang w:val="es-ES"/>
        </w:rPr>
        <w:footnoteReference w:id="4"/>
      </w:r>
      <w:r>
        <w:rPr>
          <w:rFonts w:ascii="Arial" w:hAnsi="Arial" w:cs="Arial"/>
          <w:lang w:val="es-ES"/>
        </w:rPr>
        <w:t xml:space="preserve"> y del </w:t>
      </w:r>
      <w:r w:rsidR="00F576B2">
        <w:rPr>
          <w:rFonts w:ascii="Arial" w:hAnsi="Arial" w:cs="Arial"/>
          <w:lang w:val="es-ES"/>
        </w:rPr>
        <w:t>47</w:t>
      </w:r>
      <w:r>
        <w:rPr>
          <w:rFonts w:ascii="Arial" w:hAnsi="Arial" w:cs="Arial"/>
          <w:lang w:val="es-ES"/>
        </w:rPr>
        <w:t>% en zona OBA (</w:t>
      </w:r>
      <w:r w:rsidR="00F576B2">
        <w:rPr>
          <w:rFonts w:ascii="Arial" w:hAnsi="Arial" w:cs="Arial"/>
          <w:lang w:val="es-ES"/>
        </w:rPr>
        <w:t xml:space="preserve">junio </w:t>
      </w:r>
      <w:r>
        <w:rPr>
          <w:rFonts w:ascii="Arial" w:hAnsi="Arial" w:cs="Arial"/>
          <w:lang w:val="es-ES"/>
        </w:rPr>
        <w:t xml:space="preserve">de </w:t>
      </w:r>
      <w:r w:rsidR="001725F5">
        <w:rPr>
          <w:rFonts w:ascii="Arial" w:hAnsi="Arial" w:cs="Arial"/>
          <w:lang w:val="es-ES"/>
        </w:rPr>
        <w:t>2010</w:t>
      </w:r>
      <w:r>
        <w:rPr>
          <w:rFonts w:ascii="Arial" w:hAnsi="Arial" w:cs="Arial"/>
          <w:lang w:val="es-ES"/>
        </w:rPr>
        <w:t>).</w:t>
      </w:r>
    </w:p>
    <w:p w:rsidR="00920003" w:rsidRDefault="00E02C27">
      <w:pPr>
        <w:pStyle w:val="Textoindependiente"/>
        <w:numPr>
          <w:ilvl w:val="1"/>
          <w:numId w:val="40"/>
        </w:numPr>
        <w:spacing w:before="60" w:after="60"/>
        <w:rPr>
          <w:rFonts w:ascii="Arial" w:hAnsi="Arial" w:cs="Arial"/>
          <w:lang w:val="es-ES"/>
        </w:rPr>
      </w:pPr>
      <w:r>
        <w:rPr>
          <w:rFonts w:ascii="Arial" w:hAnsi="Arial" w:cs="Arial"/>
          <w:lang w:val="es-ES"/>
        </w:rPr>
        <w:t>A medida que se realicen nuevos despliegues de DSLAM compatibles con el servicio, la cobertura del mismo se incrementará.</w:t>
      </w:r>
    </w:p>
    <w:p w:rsidR="00E02C27" w:rsidRDefault="00920003">
      <w:pPr>
        <w:pStyle w:val="Textoindependiente"/>
        <w:numPr>
          <w:ilvl w:val="1"/>
          <w:numId w:val="40"/>
        </w:numPr>
        <w:spacing w:before="60" w:after="60"/>
        <w:rPr>
          <w:rFonts w:ascii="Arial" w:hAnsi="Arial" w:cs="Arial"/>
          <w:lang w:val="es-ES"/>
        </w:rPr>
      </w:pPr>
      <w:r>
        <w:rPr>
          <w:rFonts w:ascii="Arial" w:hAnsi="Arial" w:cs="Arial"/>
          <w:lang w:val="es-ES"/>
        </w:rPr>
        <w:t xml:space="preserve">En la fecha de lanzamiento precomercial del servicio se garantiza una cobertura </w:t>
      </w:r>
      <w:r w:rsidRPr="00920003">
        <w:rPr>
          <w:rFonts w:ascii="Arial" w:hAnsi="Arial" w:cs="Arial"/>
          <w:lang w:val="es-ES"/>
        </w:rPr>
        <w:t>mínima del 97% de los pares en zona OBA y del 50% en zona no-OBA</w:t>
      </w:r>
      <w:r>
        <w:rPr>
          <w:rFonts w:ascii="Arial" w:hAnsi="Arial" w:cs="Arial"/>
          <w:lang w:val="es-ES"/>
        </w:rPr>
        <w:t>.</w:t>
      </w:r>
    </w:p>
    <w:p w:rsidR="00E02C27" w:rsidRDefault="00E02C27" w:rsidP="003E5134">
      <w:pPr>
        <w:pStyle w:val="Textoindependiente"/>
        <w:numPr>
          <w:ilvl w:val="0"/>
          <w:numId w:val="40"/>
        </w:numPr>
        <w:tabs>
          <w:tab w:val="clear" w:pos="720"/>
          <w:tab w:val="num" w:pos="851"/>
        </w:tabs>
        <w:spacing w:before="60" w:after="60"/>
        <w:ind w:left="1134" w:hanging="283"/>
        <w:rPr>
          <w:rFonts w:ascii="Arial" w:hAnsi="Arial" w:cs="Arial"/>
          <w:lang w:val="es-ES"/>
        </w:rPr>
      </w:pPr>
      <w:r>
        <w:rPr>
          <w:rFonts w:ascii="Arial" w:hAnsi="Arial" w:cs="Arial"/>
          <w:lang w:val="es-ES"/>
        </w:rPr>
        <w:t>tecnología GPON (FTTH): se corresponde con el despliegue de dicha tecnología (nodos de acceso, OLT) de los dos suministradores actuales de Telefónica, es decir,  ALU y Huawei. La cobertura en este caso se corresponde con el 100% del despliegue de FTTH.</w:t>
      </w:r>
    </w:p>
    <w:p w:rsidR="00E02C27" w:rsidRDefault="00E02C27">
      <w:pPr>
        <w:pStyle w:val="Textoindependiente"/>
        <w:spacing w:before="60" w:after="60"/>
        <w:ind w:left="431"/>
        <w:rPr>
          <w:rFonts w:ascii="Arial" w:hAnsi="Arial" w:cs="Arial"/>
          <w:lang w:val="es-ES"/>
        </w:rPr>
      </w:pPr>
      <w:r>
        <w:rPr>
          <w:rFonts w:ascii="Arial" w:hAnsi="Arial" w:cs="Arial"/>
          <w:lang w:val="es-ES"/>
        </w:rPr>
        <w:t>El mapa de cobertura del servicio NEBA sobre acceso de cobre (xDSL) se construye teniendo en cuenta dos componentes:</w:t>
      </w:r>
    </w:p>
    <w:p w:rsidR="00E02C27" w:rsidRDefault="00E02C27" w:rsidP="00FF425F">
      <w:pPr>
        <w:pStyle w:val="Textoindependiente"/>
        <w:numPr>
          <w:ilvl w:val="0"/>
          <w:numId w:val="40"/>
        </w:numPr>
        <w:tabs>
          <w:tab w:val="clear" w:pos="720"/>
          <w:tab w:val="num" w:pos="1151"/>
        </w:tabs>
        <w:spacing w:before="60" w:after="60"/>
        <w:ind w:left="1151"/>
        <w:rPr>
          <w:rFonts w:ascii="Arial" w:hAnsi="Arial" w:cs="Arial"/>
          <w:lang w:val="es-ES"/>
        </w:rPr>
      </w:pPr>
      <w:r>
        <w:rPr>
          <w:rFonts w:ascii="Arial" w:hAnsi="Arial" w:cs="Arial"/>
          <w:lang w:val="es-ES"/>
        </w:rPr>
        <w:t xml:space="preserve">Aptitud </w:t>
      </w:r>
      <w:r w:rsidR="00531EB6">
        <w:rPr>
          <w:rFonts w:ascii="Arial" w:hAnsi="Arial" w:cs="Arial"/>
          <w:lang w:val="es-ES"/>
        </w:rPr>
        <w:t xml:space="preserve">estimada </w:t>
      </w:r>
      <w:r>
        <w:rPr>
          <w:rFonts w:ascii="Arial" w:hAnsi="Arial" w:cs="Arial"/>
          <w:lang w:val="es-ES"/>
        </w:rPr>
        <w:t>del bucle</w:t>
      </w:r>
      <w:r w:rsidR="00531EB6">
        <w:rPr>
          <w:rFonts w:ascii="Arial" w:hAnsi="Arial" w:cs="Arial"/>
          <w:lang w:val="es-ES"/>
        </w:rPr>
        <w:t xml:space="preserve"> para</w:t>
      </w:r>
      <w:r>
        <w:rPr>
          <w:rFonts w:ascii="Arial" w:hAnsi="Arial" w:cs="Arial"/>
          <w:lang w:val="es-ES"/>
        </w:rPr>
        <w:t xml:space="preserve"> </w:t>
      </w:r>
      <w:r w:rsidR="00531EB6">
        <w:rPr>
          <w:rFonts w:ascii="Arial" w:hAnsi="Arial" w:cs="Arial"/>
          <w:lang w:val="es-ES"/>
        </w:rPr>
        <w:t>cada</w:t>
      </w:r>
      <w:r>
        <w:rPr>
          <w:rFonts w:ascii="Arial" w:hAnsi="Arial" w:cs="Arial"/>
          <w:lang w:val="es-ES"/>
        </w:rPr>
        <w:t xml:space="preserve"> modalidad/velocidad</w:t>
      </w:r>
      <w:r w:rsidR="00531EB6">
        <w:rPr>
          <w:rFonts w:ascii="Arial" w:hAnsi="Arial" w:cs="Arial"/>
          <w:lang w:val="es-ES"/>
        </w:rPr>
        <w:t xml:space="preserve"> que Telefónica use </w:t>
      </w:r>
      <w:r w:rsidR="002E448A">
        <w:rPr>
          <w:rFonts w:ascii="Arial" w:hAnsi="Arial" w:cs="Arial"/>
          <w:lang w:val="es-ES"/>
        </w:rPr>
        <w:t>en</w:t>
      </w:r>
      <w:r w:rsidR="00531EB6">
        <w:rPr>
          <w:rFonts w:ascii="Arial" w:hAnsi="Arial" w:cs="Arial"/>
          <w:lang w:val="es-ES"/>
        </w:rPr>
        <w:t xml:space="preserve"> autoprestación </w:t>
      </w:r>
      <w:r w:rsidR="002E448A">
        <w:rPr>
          <w:rFonts w:ascii="Arial" w:hAnsi="Arial" w:cs="Arial"/>
          <w:lang w:val="es-ES"/>
        </w:rPr>
        <w:t>para</w:t>
      </w:r>
      <w:r w:rsidR="00531EB6">
        <w:rPr>
          <w:rFonts w:ascii="Arial" w:hAnsi="Arial" w:cs="Arial"/>
          <w:lang w:val="es-ES"/>
        </w:rPr>
        <w:t xml:space="preserve"> sus servicios minoristas</w:t>
      </w:r>
      <w:r w:rsidR="00C91043">
        <w:rPr>
          <w:rFonts w:ascii="Arial" w:hAnsi="Arial" w:cs="Arial"/>
          <w:lang w:val="es-ES"/>
        </w:rPr>
        <w:t xml:space="preserve">, y para las </w:t>
      </w:r>
      <w:r w:rsidR="00781B62">
        <w:rPr>
          <w:rFonts w:ascii="Arial" w:hAnsi="Arial" w:cs="Arial"/>
          <w:lang w:val="es-ES"/>
        </w:rPr>
        <w:t>cuales</w:t>
      </w:r>
      <w:r w:rsidR="00C91043">
        <w:rPr>
          <w:rFonts w:ascii="Arial" w:hAnsi="Arial" w:cs="Arial"/>
          <w:lang w:val="es-ES"/>
        </w:rPr>
        <w:t xml:space="preserve"> se dispondrá de caracterización de la planta</w:t>
      </w:r>
      <w:r w:rsidR="003F6048">
        <w:rPr>
          <w:rFonts w:ascii="Arial" w:hAnsi="Arial" w:cs="Arial"/>
          <w:lang w:val="es-ES"/>
        </w:rPr>
        <w:t xml:space="preserve"> de pares</w:t>
      </w:r>
      <w:r>
        <w:rPr>
          <w:rFonts w:ascii="Arial" w:hAnsi="Arial" w:cs="Arial"/>
          <w:lang w:val="es-ES"/>
        </w:rPr>
        <w:t xml:space="preserve">. El criterio de validación de los bucles </w:t>
      </w:r>
      <w:r w:rsidR="00FF425F">
        <w:rPr>
          <w:rFonts w:ascii="Arial" w:hAnsi="Arial" w:cs="Arial"/>
          <w:lang w:val="es-ES"/>
        </w:rPr>
        <w:t>para dicha</w:t>
      </w:r>
      <w:r w:rsidR="006B5003">
        <w:rPr>
          <w:rFonts w:ascii="Arial" w:hAnsi="Arial" w:cs="Arial"/>
          <w:lang w:val="es-ES"/>
        </w:rPr>
        <w:t xml:space="preserve">s </w:t>
      </w:r>
      <w:r w:rsidR="00FF425F">
        <w:rPr>
          <w:rFonts w:ascii="Arial" w:hAnsi="Arial" w:cs="Arial"/>
          <w:lang w:val="es-ES"/>
        </w:rPr>
        <w:t>modalidades</w:t>
      </w:r>
      <w:r w:rsidR="006B5003">
        <w:rPr>
          <w:rFonts w:ascii="Arial" w:hAnsi="Arial" w:cs="Arial"/>
          <w:lang w:val="es-ES"/>
        </w:rPr>
        <w:t xml:space="preserve"> </w:t>
      </w:r>
      <w:r>
        <w:rPr>
          <w:rFonts w:ascii="Arial" w:hAnsi="Arial" w:cs="Arial"/>
          <w:lang w:val="es-ES"/>
        </w:rPr>
        <w:t xml:space="preserve">seguirá las mismas reglas de topología, atenuación, etc. que para el servicio minorista, donde sea aplicable. </w:t>
      </w:r>
    </w:p>
    <w:p w:rsidR="00E02C27" w:rsidRDefault="00E02C27" w:rsidP="00F73689">
      <w:pPr>
        <w:pStyle w:val="Textoindependiente"/>
        <w:numPr>
          <w:ilvl w:val="0"/>
          <w:numId w:val="40"/>
        </w:numPr>
        <w:tabs>
          <w:tab w:val="clear" w:pos="720"/>
          <w:tab w:val="num" w:pos="1151"/>
        </w:tabs>
        <w:spacing w:before="60" w:after="60"/>
        <w:ind w:left="1151"/>
        <w:rPr>
          <w:rFonts w:ascii="Arial" w:hAnsi="Arial" w:cs="Arial"/>
          <w:lang w:val="es-ES"/>
        </w:rPr>
      </w:pPr>
      <w:r>
        <w:rPr>
          <w:rFonts w:ascii="Arial" w:hAnsi="Arial" w:cs="Arial"/>
          <w:lang w:val="es-ES"/>
        </w:rPr>
        <w:t xml:space="preserve">Disponibilidad de equipamiento compatible con el servicio </w:t>
      </w:r>
      <w:r w:rsidR="00F73689">
        <w:rPr>
          <w:rFonts w:ascii="Arial" w:hAnsi="Arial" w:cs="Arial"/>
          <w:lang w:val="es-ES"/>
        </w:rPr>
        <w:t>de acuerdo a</w:t>
      </w:r>
      <w:r>
        <w:rPr>
          <w:rFonts w:ascii="Arial" w:hAnsi="Arial" w:cs="Arial"/>
          <w:lang w:val="es-ES"/>
        </w:rPr>
        <w:t xml:space="preserve"> la arquitectura elegida, MonoVLAN en modo crossconnect</w:t>
      </w:r>
      <w:r w:rsidR="00F73689">
        <w:rPr>
          <w:rFonts w:ascii="Arial" w:hAnsi="Arial" w:cs="Arial"/>
          <w:lang w:val="es-ES"/>
        </w:rPr>
        <w:t>.</w:t>
      </w:r>
    </w:p>
    <w:p w:rsidR="00E02C27" w:rsidRDefault="00E02C27">
      <w:pPr>
        <w:pStyle w:val="Textoindependiente"/>
        <w:spacing w:before="60" w:after="60"/>
        <w:ind w:left="431" w:firstLine="22"/>
        <w:rPr>
          <w:rFonts w:ascii="Arial" w:hAnsi="Arial" w:cs="Arial"/>
          <w:i/>
          <w:lang w:val="es-ES"/>
        </w:rPr>
      </w:pPr>
      <w:r>
        <w:rPr>
          <w:rFonts w:ascii="Arial" w:hAnsi="Arial" w:cs="Arial"/>
          <w:lang w:val="es-ES"/>
        </w:rPr>
        <w:t xml:space="preserve">Para más detalles sobre la cobertura del servicio, véase el apartado 3.3. </w:t>
      </w:r>
      <w:r w:rsidR="00531EB6">
        <w:rPr>
          <w:rFonts w:ascii="Arial" w:hAnsi="Arial" w:cs="Arial"/>
          <w:lang w:val="es-ES"/>
        </w:rPr>
        <w:t>“</w:t>
      </w:r>
      <w:r>
        <w:rPr>
          <w:rFonts w:ascii="Arial" w:hAnsi="Arial" w:cs="Arial"/>
          <w:i/>
          <w:lang w:val="es-ES"/>
        </w:rPr>
        <w:t>Información de cobertura de servicio”.</w:t>
      </w:r>
    </w:p>
    <w:p w:rsidR="00381430" w:rsidRDefault="00381430" w:rsidP="006F3E19">
      <w:pPr>
        <w:pStyle w:val="Textoindependiente"/>
        <w:spacing w:before="60" w:after="60"/>
        <w:rPr>
          <w:rFonts w:ascii="Arial" w:hAnsi="Arial" w:cs="Arial"/>
          <w:lang w:val="es-ES"/>
        </w:rPr>
      </w:pPr>
    </w:p>
    <w:p w:rsidR="00E02C27" w:rsidRDefault="00E02C27">
      <w:pPr>
        <w:pStyle w:val="Textoindependiente"/>
        <w:spacing w:before="60" w:after="60"/>
        <w:ind w:left="431" w:firstLine="22"/>
        <w:rPr>
          <w:rFonts w:ascii="Arial" w:hAnsi="Arial" w:cs="Arial"/>
          <w:lang w:val="es-ES"/>
        </w:rPr>
      </w:pPr>
    </w:p>
    <w:p w:rsidR="00E02C27" w:rsidRDefault="00E02C27">
      <w:pPr>
        <w:pStyle w:val="EstiloTtulo1"/>
      </w:pPr>
      <w:bookmarkStart w:id="8" w:name="_Toc444784427"/>
      <w:r>
        <w:t>RED DE ACCESO</w:t>
      </w:r>
      <w:bookmarkEnd w:id="8"/>
      <w:r>
        <w:t xml:space="preserve"> </w:t>
      </w:r>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Tal y como se ha comentado anteriormente, el servicio se construye sobre accesos de cobre con tecnología ADSL2+/VDSL2 o sobre tecnología GPON (FTTH). </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En la figura 1 se muestra la arquitectura general del servicio mayorista NEBA, así como el de los servicios minoristas de </w:t>
      </w:r>
      <w:r w:rsidR="009D686F">
        <w:rPr>
          <w:rFonts w:ascii="Arial" w:hAnsi="Arial" w:cs="Arial"/>
          <w:lang w:val="es-ES"/>
        </w:rPr>
        <w:t>Telefónica</w:t>
      </w:r>
      <w:r>
        <w:rPr>
          <w:rFonts w:ascii="Arial" w:hAnsi="Arial" w:cs="Arial"/>
          <w:lang w:val="es-ES"/>
        </w:rPr>
        <w:t xml:space="preserve"> y mayoristas indirectos actuales (GigADSL y ADSL-IP).</w:t>
      </w:r>
    </w:p>
    <w:p w:rsidR="00E02C27" w:rsidRDefault="00E5554F">
      <w:pPr>
        <w:pStyle w:val="Normal1"/>
        <w:keepNext/>
        <w:ind w:left="977" w:hanging="545"/>
        <w:jc w:val="center"/>
      </w:pPr>
      <w:r>
        <w:rPr>
          <w:rFonts w:ascii="Arial" w:hAnsi="Arial" w:cs="Arial"/>
          <w:noProof/>
        </w:rPr>
        <w:drawing>
          <wp:inline distT="0" distB="0" distL="0" distR="0" wp14:anchorId="7BA0A096" wp14:editId="5C3D99B8">
            <wp:extent cx="5608320" cy="3063240"/>
            <wp:effectExtent l="0" t="0" r="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8320" cy="3063240"/>
                    </a:xfrm>
                    <a:prstGeom prst="rect">
                      <a:avLst/>
                    </a:prstGeom>
                    <a:noFill/>
                    <a:ln>
                      <a:noFill/>
                    </a:ln>
                  </pic:spPr>
                </pic:pic>
              </a:graphicData>
            </a:graphic>
          </wp:inline>
        </w:drawing>
      </w:r>
    </w:p>
    <w:p w:rsidR="00E02C27" w:rsidRDefault="00E02C27">
      <w:pPr>
        <w:pStyle w:val="Epgrafe"/>
        <w:jc w:val="center"/>
        <w:rPr>
          <w:rFonts w:ascii="Arial" w:hAnsi="Arial" w:cs="Arial"/>
          <w:sz w:val="22"/>
          <w:szCs w:val="22"/>
        </w:rPr>
      </w:pPr>
      <w:r>
        <w:rPr>
          <w:rFonts w:ascii="Arial" w:hAnsi="Arial" w:cs="Arial"/>
          <w:sz w:val="22"/>
          <w:szCs w:val="22"/>
        </w:rPr>
        <w:t xml:space="preserve">Figura </w:t>
      </w:r>
      <w:r>
        <w:rPr>
          <w:rFonts w:ascii="Arial" w:hAnsi="Arial" w:cs="Arial"/>
          <w:sz w:val="22"/>
          <w:szCs w:val="22"/>
        </w:rPr>
        <w:fldChar w:fldCharType="begin"/>
      </w:r>
      <w:r>
        <w:rPr>
          <w:rFonts w:ascii="Arial" w:hAnsi="Arial" w:cs="Arial"/>
          <w:sz w:val="22"/>
          <w:szCs w:val="22"/>
        </w:rPr>
        <w:instrText xml:space="preserve"> SEQ Figura \* ARABIC </w:instrText>
      </w:r>
      <w:r>
        <w:rPr>
          <w:rFonts w:ascii="Arial" w:hAnsi="Arial" w:cs="Arial"/>
          <w:sz w:val="22"/>
          <w:szCs w:val="22"/>
        </w:rPr>
        <w:fldChar w:fldCharType="separate"/>
      </w:r>
      <w:r w:rsidR="00115AB9">
        <w:rPr>
          <w:rFonts w:ascii="Arial" w:hAnsi="Arial" w:cs="Arial"/>
          <w:noProof/>
          <w:sz w:val="22"/>
          <w:szCs w:val="22"/>
        </w:rPr>
        <w:t>1</w:t>
      </w:r>
      <w:r>
        <w:rPr>
          <w:rFonts w:ascii="Arial" w:hAnsi="Arial" w:cs="Arial"/>
          <w:sz w:val="22"/>
          <w:szCs w:val="22"/>
        </w:rPr>
        <w:fldChar w:fldCharType="end"/>
      </w:r>
      <w:r>
        <w:rPr>
          <w:rFonts w:ascii="Arial" w:hAnsi="Arial" w:cs="Arial"/>
          <w:sz w:val="22"/>
          <w:szCs w:val="22"/>
        </w:rPr>
        <w:t>: Arquitectura servicios mayoristas y minoristas</w:t>
      </w:r>
    </w:p>
    <w:p w:rsidR="00E02C27" w:rsidRDefault="00E02C27">
      <w:pPr>
        <w:pStyle w:val="Textoindependiente"/>
        <w:spacing w:before="60" w:after="60"/>
        <w:ind w:left="0"/>
        <w:rPr>
          <w:rFonts w:ascii="Arial" w:hAnsi="Arial" w:cs="Arial"/>
          <w:lang w:val="es-ES"/>
        </w:rPr>
      </w:pPr>
    </w:p>
    <w:p w:rsidR="00E02C27" w:rsidRDefault="00E02C27">
      <w:pPr>
        <w:pStyle w:val="Encabezado"/>
        <w:tabs>
          <w:tab w:val="clear" w:pos="4252"/>
          <w:tab w:val="clear" w:pos="8504"/>
        </w:tabs>
        <w:ind w:left="1418" w:hanging="545"/>
        <w:rPr>
          <w:rFonts w:ascii="Arial" w:hAnsi="Arial" w:cs="Arial"/>
        </w:rPr>
      </w:pPr>
    </w:p>
    <w:p w:rsidR="00E02C27" w:rsidRDefault="00E02C27" w:rsidP="006B5381">
      <w:pPr>
        <w:pStyle w:val="EstiloTitulo2"/>
      </w:pPr>
      <w:bookmarkStart w:id="9" w:name="_Toc444784428"/>
      <w:r>
        <w:t>Interfaz router de cliente - Nodo de Acceso</w:t>
      </w:r>
      <w:bookmarkEnd w:id="9"/>
      <w:r>
        <w:t xml:space="preserve"> </w:t>
      </w:r>
    </w:p>
    <w:p w:rsidR="00E02C27" w:rsidRDefault="00E02C27" w:rsidP="00AF32C8">
      <w:pPr>
        <w:pStyle w:val="EstiloTtulo3"/>
      </w:pPr>
      <w:bookmarkStart w:id="10" w:name="_Toc444784429"/>
      <w:r>
        <w:t>Tecnología xDSL: Interfaz router de cliente (CPE) – Nodo de Acceso (DSLAM)</w:t>
      </w:r>
      <w:bookmarkEnd w:id="10"/>
      <w:r>
        <w:t xml:space="preserve"> </w:t>
      </w:r>
    </w:p>
    <w:p w:rsidR="00E02C27" w:rsidRDefault="00E02C27">
      <w:pPr>
        <w:pStyle w:val="Textoindependiente"/>
        <w:spacing w:before="60" w:after="60"/>
        <w:ind w:left="709"/>
        <w:rPr>
          <w:rFonts w:ascii="Arial" w:hAnsi="Arial" w:cs="Arial"/>
          <w:lang w:val="es-ES"/>
        </w:rPr>
      </w:pPr>
      <w:r>
        <w:rPr>
          <w:rFonts w:ascii="Arial" w:hAnsi="Arial" w:cs="Arial"/>
          <w:lang w:val="es-ES"/>
        </w:rPr>
        <w:t>El cliente recibe el servicio a través del par de cobre. La separación entre las señales de voz y de datos en domicilio de cliente puede requerir la instalación de un filtro separador centralizado (caso del VDSL2) o admitir tanto la utilización de filtro centralizado como de microfiltros en cada punto en el que se conecten equipos de voz convencional (caso del ADSL2+).</w:t>
      </w:r>
    </w:p>
    <w:p w:rsidR="00E02C27" w:rsidRDefault="00E02C27">
      <w:pPr>
        <w:pStyle w:val="Textoindependiente"/>
        <w:spacing w:before="60" w:after="60"/>
        <w:ind w:left="709"/>
        <w:rPr>
          <w:rFonts w:ascii="Arial" w:hAnsi="Arial" w:cs="Arial"/>
        </w:rPr>
      </w:pPr>
      <w:r>
        <w:rPr>
          <w:rFonts w:ascii="Arial" w:hAnsi="Arial" w:cs="Arial"/>
        </w:rPr>
        <w:t>En el lado central, la conexión al DSLAM IP se realiza tras separar la banda de voz mediante un filtro separador.</w:t>
      </w:r>
    </w:p>
    <w:p w:rsidR="00E02C27" w:rsidRDefault="00E02C27">
      <w:pPr>
        <w:pStyle w:val="Textoindependiente"/>
        <w:spacing w:before="60" w:after="60"/>
        <w:ind w:left="709"/>
        <w:rPr>
          <w:rFonts w:ascii="Arial" w:hAnsi="Arial" w:cs="Arial"/>
          <w:lang w:val="es-ES"/>
        </w:rPr>
      </w:pPr>
      <w:r>
        <w:rPr>
          <w:rFonts w:ascii="Arial" w:hAnsi="Arial" w:cs="Arial"/>
          <w:lang w:val="es-ES"/>
        </w:rPr>
        <w:t>La estructura de protocolos es la siguiente:</w:t>
      </w:r>
    </w:p>
    <w:p w:rsidR="00E02C27" w:rsidRDefault="00E02C27">
      <w:pPr>
        <w:pStyle w:val="Textoindependiente"/>
        <w:numPr>
          <w:ilvl w:val="0"/>
          <w:numId w:val="42"/>
        </w:numPr>
        <w:tabs>
          <w:tab w:val="clear" w:pos="1778"/>
        </w:tabs>
        <w:spacing w:before="60" w:after="60"/>
        <w:ind w:left="1069"/>
        <w:rPr>
          <w:rFonts w:ascii="Arial" w:hAnsi="Arial" w:cs="Arial"/>
          <w:lang w:val="es-ES"/>
        </w:rPr>
      </w:pPr>
      <w:r>
        <w:rPr>
          <w:rFonts w:ascii="Arial" w:hAnsi="Arial" w:cs="Arial"/>
          <w:szCs w:val="24"/>
          <w:u w:val="single"/>
          <w:lang w:val="es-ES"/>
        </w:rPr>
        <w:t>Puertos con interfaces ADSL2+ en DSLAM IP.</w:t>
      </w:r>
      <w:r>
        <w:rPr>
          <w:rFonts w:ascii="Arial" w:hAnsi="Arial" w:cs="Arial"/>
          <w:szCs w:val="24"/>
          <w:lang w:val="es-ES"/>
        </w:rPr>
        <w:t xml:space="preserve"> En </w:t>
      </w:r>
      <w:r>
        <w:rPr>
          <w:rFonts w:ascii="Arial" w:hAnsi="Arial" w:cs="Arial"/>
          <w:lang w:val="es-ES"/>
        </w:rPr>
        <w:t xml:space="preserve">este caso la pila de protocolos incluye una capa ATM, es decir, se construye la trama Ethernet sobre ATM y ésta a su vez sobre ADSL2+. Esto supone que en la trama que se genere desde el CPE debe informarse el VP/VC para poder encaminar la celda a través de la red. </w:t>
      </w:r>
    </w:p>
    <w:p w:rsidR="004B3A2D" w:rsidRDefault="004B3A2D" w:rsidP="004B3A2D">
      <w:pPr>
        <w:pStyle w:val="Textoindependiente"/>
        <w:spacing w:before="60" w:after="60"/>
        <w:ind w:left="709"/>
        <w:rPr>
          <w:rFonts w:ascii="Arial" w:hAnsi="Arial" w:cs="Arial"/>
          <w:lang w:val="es-ES"/>
        </w:rPr>
      </w:pPr>
    </w:p>
    <w:p w:rsidR="00E02C27" w:rsidRDefault="00E5554F">
      <w:pPr>
        <w:spacing w:before="60" w:after="60"/>
        <w:ind w:left="709" w:hanging="545"/>
        <w:jc w:val="center"/>
        <w:rPr>
          <w:rFonts w:ascii="Arial" w:hAnsi="Arial" w:cs="Arial"/>
          <w:sz w:val="24"/>
          <w:szCs w:val="24"/>
        </w:rPr>
      </w:pPr>
      <w:r>
        <w:rPr>
          <w:rFonts w:ascii="Arial" w:hAnsi="Arial" w:cs="Arial"/>
          <w:noProof/>
          <w:szCs w:val="24"/>
        </w:rPr>
        <w:drawing>
          <wp:inline distT="0" distB="0" distL="0" distR="0" wp14:anchorId="423F1204" wp14:editId="08A30C0F">
            <wp:extent cx="4747260" cy="2255520"/>
            <wp:effectExtent l="0" t="0" r="0" b="0"/>
            <wp:docPr id="5" name="Imagen 5" descr="Protocolo NEBA-ADS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tocolo NEBA-ADSL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7260" cy="2255520"/>
                    </a:xfrm>
                    <a:prstGeom prst="rect">
                      <a:avLst/>
                    </a:prstGeom>
                    <a:noFill/>
                    <a:ln>
                      <a:noFill/>
                    </a:ln>
                  </pic:spPr>
                </pic:pic>
              </a:graphicData>
            </a:graphic>
          </wp:inline>
        </w:drawing>
      </w:r>
    </w:p>
    <w:p w:rsidR="00E02C27" w:rsidRDefault="00E02C27">
      <w:pPr>
        <w:pStyle w:val="Epgrafe"/>
        <w:jc w:val="center"/>
        <w:rPr>
          <w:rFonts w:ascii="Arial" w:hAnsi="Arial" w:cs="Arial"/>
          <w:sz w:val="22"/>
          <w:szCs w:val="22"/>
          <w:u w:val="single"/>
        </w:rPr>
      </w:pPr>
      <w:r>
        <w:rPr>
          <w:rFonts w:ascii="Arial" w:hAnsi="Arial" w:cs="Arial"/>
          <w:sz w:val="22"/>
          <w:szCs w:val="22"/>
        </w:rPr>
        <w:t xml:space="preserve">Figura </w:t>
      </w:r>
      <w:r>
        <w:rPr>
          <w:rFonts w:ascii="Arial" w:hAnsi="Arial" w:cs="Arial"/>
          <w:sz w:val="22"/>
          <w:szCs w:val="22"/>
        </w:rPr>
        <w:fldChar w:fldCharType="begin"/>
      </w:r>
      <w:r>
        <w:rPr>
          <w:rFonts w:ascii="Arial" w:hAnsi="Arial" w:cs="Arial"/>
          <w:sz w:val="22"/>
          <w:szCs w:val="22"/>
        </w:rPr>
        <w:instrText xml:space="preserve"> SEQ Figura \* ARABIC </w:instrText>
      </w:r>
      <w:r>
        <w:rPr>
          <w:rFonts w:ascii="Arial" w:hAnsi="Arial" w:cs="Arial"/>
          <w:sz w:val="22"/>
          <w:szCs w:val="22"/>
        </w:rPr>
        <w:fldChar w:fldCharType="separate"/>
      </w:r>
      <w:r w:rsidR="00115AB9">
        <w:rPr>
          <w:rFonts w:ascii="Arial" w:hAnsi="Arial" w:cs="Arial"/>
          <w:noProof/>
          <w:sz w:val="22"/>
          <w:szCs w:val="22"/>
        </w:rPr>
        <w:t>2</w:t>
      </w:r>
      <w:r>
        <w:rPr>
          <w:rFonts w:ascii="Arial" w:hAnsi="Arial" w:cs="Arial"/>
          <w:sz w:val="22"/>
          <w:szCs w:val="22"/>
        </w:rPr>
        <w:fldChar w:fldCharType="end"/>
      </w:r>
      <w:r>
        <w:rPr>
          <w:rFonts w:ascii="Arial" w:hAnsi="Arial" w:cs="Arial"/>
          <w:sz w:val="22"/>
          <w:szCs w:val="22"/>
        </w:rPr>
        <w:t>: Estructura de protocolos para conexiones ADSL 2+</w:t>
      </w:r>
      <w:r>
        <w:rPr>
          <w:rFonts w:ascii="Arial" w:hAnsi="Arial" w:cs="Arial"/>
          <w:sz w:val="22"/>
          <w:szCs w:val="22"/>
          <w:u w:val="single"/>
        </w:rPr>
        <w:t xml:space="preserve"> </w:t>
      </w:r>
    </w:p>
    <w:p w:rsidR="006F3E19" w:rsidRDefault="006F3E19" w:rsidP="006F3E19"/>
    <w:p w:rsidR="006F3E19" w:rsidRPr="006F3E19" w:rsidRDefault="006F3E19" w:rsidP="006F3E19"/>
    <w:p w:rsidR="00E02C27" w:rsidRPr="006B69C3" w:rsidRDefault="00E02C27" w:rsidP="006F3E19">
      <w:pPr>
        <w:pStyle w:val="Textoindependiente"/>
        <w:keepNext/>
        <w:numPr>
          <w:ilvl w:val="0"/>
          <w:numId w:val="42"/>
        </w:numPr>
        <w:tabs>
          <w:tab w:val="clear" w:pos="1778"/>
        </w:tabs>
        <w:spacing w:before="60" w:after="60"/>
        <w:ind w:left="1066" w:hanging="357"/>
        <w:rPr>
          <w:rFonts w:ascii="Arial" w:hAnsi="Arial" w:cs="Arial"/>
          <w:szCs w:val="24"/>
          <w:u w:val="single"/>
          <w:lang w:val="es-ES"/>
        </w:rPr>
      </w:pPr>
      <w:r>
        <w:rPr>
          <w:rFonts w:ascii="Arial" w:hAnsi="Arial" w:cs="Arial"/>
          <w:szCs w:val="24"/>
          <w:u w:val="single"/>
          <w:lang w:val="es-ES"/>
        </w:rPr>
        <w:t>Puertos con interfaces VDSL2 en DSLAM IP</w:t>
      </w:r>
      <w:r>
        <w:rPr>
          <w:rFonts w:ascii="Arial" w:hAnsi="Arial" w:cs="Arial"/>
          <w:szCs w:val="24"/>
          <w:lang w:val="es-ES"/>
        </w:rPr>
        <w:t xml:space="preserve">. En este caso las tramas Ethernet se construyen directamente sobre el medio físico VDSL2. </w:t>
      </w:r>
    </w:p>
    <w:p w:rsidR="006B69C3" w:rsidRDefault="006B69C3" w:rsidP="006B69C3">
      <w:pPr>
        <w:pStyle w:val="Textoindependiente"/>
        <w:keepNext/>
        <w:spacing w:before="60" w:after="60"/>
        <w:ind w:left="709"/>
        <w:rPr>
          <w:rFonts w:ascii="Arial" w:hAnsi="Arial" w:cs="Arial"/>
          <w:szCs w:val="24"/>
          <w:u w:val="single"/>
          <w:lang w:val="es-ES"/>
        </w:rPr>
      </w:pPr>
    </w:p>
    <w:p w:rsidR="00E02C27" w:rsidRDefault="00E5554F">
      <w:pPr>
        <w:pStyle w:val="Textoindependiente"/>
        <w:spacing w:before="60" w:after="60"/>
        <w:ind w:left="349"/>
        <w:jc w:val="center"/>
        <w:rPr>
          <w:rFonts w:ascii="Arial" w:hAnsi="Arial" w:cs="Arial"/>
          <w:szCs w:val="24"/>
          <w:u w:val="single"/>
          <w:lang w:val="es-ES"/>
        </w:rPr>
      </w:pPr>
      <w:r>
        <w:rPr>
          <w:rFonts w:ascii="Arial" w:hAnsi="Arial" w:cs="Arial"/>
          <w:noProof/>
          <w:szCs w:val="24"/>
          <w:lang w:val="es-ES"/>
        </w:rPr>
        <w:drawing>
          <wp:inline distT="0" distB="0" distL="0" distR="0" wp14:anchorId="72123E70" wp14:editId="40F24839">
            <wp:extent cx="4671060" cy="1866900"/>
            <wp:effectExtent l="0" t="0" r="0" b="0"/>
            <wp:docPr id="6" name="Imagen 6" descr="Protocolo NEBA-VDS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tocolo NEBA-VDSL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1060" cy="1866900"/>
                    </a:xfrm>
                    <a:prstGeom prst="rect">
                      <a:avLst/>
                    </a:prstGeom>
                    <a:noFill/>
                    <a:ln>
                      <a:noFill/>
                    </a:ln>
                  </pic:spPr>
                </pic:pic>
              </a:graphicData>
            </a:graphic>
          </wp:inline>
        </w:drawing>
      </w:r>
    </w:p>
    <w:p w:rsidR="00E02C27" w:rsidRDefault="00E02C27">
      <w:pPr>
        <w:ind w:left="709" w:hanging="545"/>
        <w:jc w:val="center"/>
        <w:rPr>
          <w:rFonts w:ascii="Arial" w:hAnsi="Arial" w:cs="Arial"/>
          <w:szCs w:val="22"/>
        </w:rPr>
      </w:pPr>
      <w:r>
        <w:rPr>
          <w:rFonts w:ascii="Arial" w:hAnsi="Arial" w:cs="Arial"/>
          <w:b/>
          <w:szCs w:val="22"/>
        </w:rPr>
        <w:t xml:space="preserve"> Figura </w:t>
      </w:r>
      <w:r>
        <w:rPr>
          <w:rFonts w:ascii="Arial" w:hAnsi="Arial" w:cs="Arial"/>
          <w:b/>
          <w:szCs w:val="22"/>
        </w:rPr>
        <w:fldChar w:fldCharType="begin"/>
      </w:r>
      <w:r>
        <w:rPr>
          <w:rFonts w:ascii="Arial" w:hAnsi="Arial" w:cs="Arial"/>
          <w:b/>
          <w:szCs w:val="22"/>
        </w:rPr>
        <w:instrText xml:space="preserve"> SEQ Figura \* ARABIC </w:instrText>
      </w:r>
      <w:r>
        <w:rPr>
          <w:rFonts w:ascii="Arial" w:hAnsi="Arial" w:cs="Arial"/>
          <w:b/>
          <w:szCs w:val="22"/>
        </w:rPr>
        <w:fldChar w:fldCharType="separate"/>
      </w:r>
      <w:r w:rsidR="00115AB9">
        <w:rPr>
          <w:rFonts w:ascii="Arial" w:hAnsi="Arial" w:cs="Arial"/>
          <w:b/>
          <w:noProof/>
          <w:szCs w:val="22"/>
        </w:rPr>
        <w:t>3</w:t>
      </w:r>
      <w:r>
        <w:rPr>
          <w:rFonts w:ascii="Arial" w:hAnsi="Arial" w:cs="Arial"/>
          <w:b/>
          <w:szCs w:val="22"/>
        </w:rPr>
        <w:fldChar w:fldCharType="end"/>
      </w:r>
      <w:r>
        <w:rPr>
          <w:rFonts w:ascii="Arial" w:hAnsi="Arial" w:cs="Arial"/>
          <w:b/>
          <w:szCs w:val="22"/>
        </w:rPr>
        <w:t>: Estructura de protocolos para conexiones VDSL2</w:t>
      </w:r>
    </w:p>
    <w:p w:rsidR="00E02C27" w:rsidRDefault="00E02C27">
      <w:pPr>
        <w:ind w:left="1254" w:hanging="545"/>
        <w:rPr>
          <w:rFonts w:ascii="Arial" w:hAnsi="Arial" w:cs="Arial"/>
          <w:sz w:val="24"/>
          <w:szCs w:val="24"/>
        </w:rPr>
      </w:pPr>
    </w:p>
    <w:p w:rsidR="009D686F" w:rsidRPr="009D686F" w:rsidRDefault="00C507B9" w:rsidP="009D686F">
      <w:pPr>
        <w:pStyle w:val="Textoindependiente"/>
        <w:spacing w:before="60" w:after="60"/>
        <w:ind w:left="709"/>
        <w:rPr>
          <w:rFonts w:ascii="Arial" w:hAnsi="Arial" w:cs="Arial"/>
        </w:rPr>
      </w:pPr>
      <w:r>
        <w:rPr>
          <w:rFonts w:ascii="Arial" w:hAnsi="Arial" w:cs="Arial"/>
        </w:rPr>
        <w:t>L</w:t>
      </w:r>
      <w:r w:rsidR="00E02C27">
        <w:rPr>
          <w:rFonts w:ascii="Arial" w:hAnsi="Arial" w:cs="Arial"/>
        </w:rPr>
        <w:t xml:space="preserve">a responsabilidad de adquisición de los equipos de cliente VDSL2  será de los </w:t>
      </w:r>
      <w:r w:rsidR="00A41886">
        <w:rPr>
          <w:rFonts w:ascii="Arial" w:hAnsi="Arial" w:cs="Arial"/>
        </w:rPr>
        <w:t>operadores</w:t>
      </w:r>
      <w:r w:rsidR="00E02C27">
        <w:rPr>
          <w:rFonts w:ascii="Arial" w:hAnsi="Arial" w:cs="Arial"/>
        </w:rPr>
        <w:t xml:space="preserve"> exclusivamente.</w:t>
      </w:r>
      <w:r w:rsidR="009D686F" w:rsidRPr="009D686F">
        <w:rPr>
          <w:rFonts w:ascii="Arial" w:hAnsi="Arial" w:cs="Arial"/>
        </w:rPr>
        <w:t xml:space="preserve"> </w:t>
      </w:r>
      <w:r w:rsidR="009D686F">
        <w:rPr>
          <w:rFonts w:ascii="Arial" w:hAnsi="Arial" w:cs="Arial"/>
        </w:rPr>
        <w:t xml:space="preserve">Telefónica les </w:t>
      </w:r>
      <w:r w:rsidR="009D686F" w:rsidRPr="009D686F">
        <w:rPr>
          <w:rFonts w:ascii="Arial" w:hAnsi="Arial" w:cs="Arial"/>
        </w:rPr>
        <w:t>suministrar</w:t>
      </w:r>
      <w:r w:rsidR="009D686F">
        <w:rPr>
          <w:rFonts w:ascii="Arial" w:hAnsi="Arial" w:cs="Arial"/>
        </w:rPr>
        <w:t>á</w:t>
      </w:r>
      <w:r w:rsidR="009D686F" w:rsidRPr="009D686F">
        <w:rPr>
          <w:rFonts w:ascii="Arial" w:hAnsi="Arial" w:cs="Arial"/>
        </w:rPr>
        <w:t xml:space="preserve"> la información que requieran para poder efectuar las adquisiciones oportunas</w:t>
      </w:r>
      <w:r w:rsidR="009D686F">
        <w:rPr>
          <w:rFonts w:ascii="Arial" w:hAnsi="Arial" w:cs="Arial"/>
        </w:rPr>
        <w:t>.</w:t>
      </w:r>
    </w:p>
    <w:p w:rsidR="00E02C27" w:rsidRDefault="00E02C27" w:rsidP="00AF32C8">
      <w:pPr>
        <w:pStyle w:val="EstiloTtulo3"/>
      </w:pPr>
      <w:bookmarkStart w:id="11" w:name="_Toc444784430"/>
      <w:r>
        <w:t>Tecnología GPON: Interfaz router de cliente (CPE) -Nodo de Acceso (OLT)</w:t>
      </w:r>
      <w:bookmarkEnd w:id="11"/>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El cliente (Operador) recibe el servicio mediante fibra óptica (GPON/FTTH) hasta el PTRO de </w:t>
      </w:r>
      <w:r w:rsidR="009D686F">
        <w:rPr>
          <w:rFonts w:ascii="Arial" w:hAnsi="Arial" w:cs="Arial"/>
          <w:lang w:val="es-ES"/>
        </w:rPr>
        <w:t>Telefónica</w:t>
      </w:r>
      <w:r>
        <w:rPr>
          <w:rFonts w:ascii="Arial" w:hAnsi="Arial" w:cs="Arial"/>
          <w:lang w:val="es-ES"/>
        </w:rPr>
        <w:t xml:space="preserve">. La ONT no forma parte del servicio mayorista. </w:t>
      </w:r>
    </w:p>
    <w:p w:rsidR="009D686F" w:rsidRPr="009D686F" w:rsidRDefault="009D686F" w:rsidP="009D686F">
      <w:pPr>
        <w:pStyle w:val="Textoindependiente"/>
        <w:spacing w:before="60" w:after="60"/>
        <w:ind w:left="709"/>
        <w:rPr>
          <w:rFonts w:ascii="Arial" w:hAnsi="Arial" w:cs="Arial"/>
        </w:rPr>
      </w:pPr>
      <w:r>
        <w:rPr>
          <w:rFonts w:ascii="Arial" w:hAnsi="Arial" w:cs="Arial"/>
        </w:rPr>
        <w:t xml:space="preserve">Telefónica </w:t>
      </w:r>
      <w:r w:rsidRPr="009D686F">
        <w:rPr>
          <w:rFonts w:ascii="Arial" w:hAnsi="Arial" w:cs="Arial"/>
        </w:rPr>
        <w:t>suministrar</w:t>
      </w:r>
      <w:r>
        <w:rPr>
          <w:rFonts w:ascii="Arial" w:hAnsi="Arial" w:cs="Arial"/>
        </w:rPr>
        <w:t>á</w:t>
      </w:r>
      <w:r w:rsidRPr="009D686F">
        <w:rPr>
          <w:rFonts w:ascii="Arial" w:hAnsi="Arial" w:cs="Arial"/>
        </w:rPr>
        <w:t xml:space="preserve"> a los </w:t>
      </w:r>
      <w:r w:rsidR="00A41886">
        <w:rPr>
          <w:rFonts w:ascii="Arial" w:hAnsi="Arial" w:cs="Arial"/>
        </w:rPr>
        <w:t>operadores</w:t>
      </w:r>
      <w:r w:rsidRPr="009D686F">
        <w:rPr>
          <w:rFonts w:ascii="Arial" w:hAnsi="Arial" w:cs="Arial"/>
        </w:rPr>
        <w:t xml:space="preserve"> la información que requieran para poder efectuar las adquisiciones oportunas. </w:t>
      </w:r>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Finalmente las ONT requieren ser tele-supervisadas y tele-configuradas desde la OLT, aspectos que sí quedan incluidos en el servicio mayorista. Los procedimientos operativos entre </w:t>
      </w:r>
      <w:r w:rsidR="009D686F">
        <w:rPr>
          <w:rFonts w:ascii="Arial" w:hAnsi="Arial" w:cs="Arial"/>
          <w:lang w:val="es-ES"/>
        </w:rPr>
        <w:t>Telefónica</w:t>
      </w:r>
      <w:r>
        <w:rPr>
          <w:rFonts w:ascii="Arial" w:hAnsi="Arial" w:cs="Arial"/>
          <w:lang w:val="es-ES"/>
        </w:rPr>
        <w:t xml:space="preserve"> y </w:t>
      </w:r>
      <w:r w:rsidR="00A41886">
        <w:rPr>
          <w:rFonts w:ascii="Arial" w:hAnsi="Arial" w:cs="Arial"/>
          <w:lang w:val="es-ES"/>
        </w:rPr>
        <w:t>operadores</w:t>
      </w:r>
      <w:r>
        <w:rPr>
          <w:rFonts w:ascii="Arial" w:hAnsi="Arial" w:cs="Arial"/>
          <w:lang w:val="es-ES"/>
        </w:rPr>
        <w:t xml:space="preserve"> formarán parte de la documentación final del servicio.</w:t>
      </w:r>
    </w:p>
    <w:p w:rsidR="00E02C27" w:rsidRDefault="00E02C27">
      <w:pPr>
        <w:pStyle w:val="Textoindependiente"/>
        <w:spacing w:before="60" w:after="60"/>
        <w:ind w:left="709"/>
        <w:rPr>
          <w:rFonts w:ascii="Arial" w:hAnsi="Arial" w:cs="Arial"/>
          <w:szCs w:val="24"/>
          <w:lang w:val="es-ES"/>
        </w:rPr>
      </w:pPr>
      <w:r>
        <w:rPr>
          <w:rFonts w:ascii="Arial" w:hAnsi="Arial" w:cs="Arial"/>
          <w:lang w:val="es-ES"/>
        </w:rPr>
        <w:t xml:space="preserve">El equipamiento de cliente (CPE, router u otro) se conectará a la ONT tal como el Operador configure para la prestación del servicio. La figura siguiente refleja la pila de protocolos del servicio mayorista que se construyen cuando la interfaz es GPON/FTTH. </w:t>
      </w:r>
    </w:p>
    <w:p w:rsidR="00D37CE8" w:rsidRDefault="00D37CE8">
      <w:pPr>
        <w:pStyle w:val="Textoindependiente"/>
        <w:spacing w:before="60" w:after="60"/>
        <w:ind w:left="709"/>
        <w:rPr>
          <w:rFonts w:ascii="Arial" w:hAnsi="Arial" w:cs="Arial"/>
          <w:lang w:val="es-ES"/>
        </w:rPr>
      </w:pPr>
    </w:p>
    <w:p w:rsidR="00E02C27" w:rsidRDefault="00E5554F" w:rsidP="00D37CE8">
      <w:pPr>
        <w:pStyle w:val="Textoindependiente"/>
        <w:spacing w:before="60" w:after="60"/>
        <w:ind w:left="0"/>
        <w:jc w:val="center"/>
        <w:rPr>
          <w:rFonts w:ascii="Arial" w:hAnsi="Arial" w:cs="Arial"/>
          <w:lang w:val="es-ES"/>
        </w:rPr>
      </w:pPr>
      <w:r>
        <w:rPr>
          <w:rFonts w:ascii="Arial" w:hAnsi="Arial" w:cs="Arial"/>
          <w:noProof/>
          <w:lang w:val="es-ES"/>
        </w:rPr>
        <w:drawing>
          <wp:inline distT="0" distB="0" distL="0" distR="0" wp14:anchorId="29C97E03" wp14:editId="31F4019F">
            <wp:extent cx="4602480" cy="2042160"/>
            <wp:effectExtent l="0" t="0" r="7620" b="0"/>
            <wp:docPr id="7" name="Imagen 7" descr="Protocolo NEBA-GP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tocolo NEBA-GP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2480" cy="2042160"/>
                    </a:xfrm>
                    <a:prstGeom prst="rect">
                      <a:avLst/>
                    </a:prstGeom>
                    <a:noFill/>
                    <a:ln>
                      <a:noFill/>
                    </a:ln>
                  </pic:spPr>
                </pic:pic>
              </a:graphicData>
            </a:graphic>
          </wp:inline>
        </w:drawing>
      </w:r>
    </w:p>
    <w:p w:rsidR="00E02C27" w:rsidRDefault="00E02C27">
      <w:pPr>
        <w:pStyle w:val="Epgrafe"/>
        <w:jc w:val="center"/>
        <w:rPr>
          <w:rFonts w:ascii="Arial" w:hAnsi="Arial" w:cs="Arial"/>
          <w:sz w:val="22"/>
          <w:szCs w:val="22"/>
        </w:rPr>
      </w:pPr>
      <w:r>
        <w:rPr>
          <w:rFonts w:ascii="Arial" w:hAnsi="Arial" w:cs="Arial"/>
          <w:sz w:val="22"/>
          <w:szCs w:val="22"/>
        </w:rPr>
        <w:t xml:space="preserve">Figura </w:t>
      </w:r>
      <w:r>
        <w:rPr>
          <w:rFonts w:ascii="Arial" w:hAnsi="Arial" w:cs="Arial"/>
          <w:sz w:val="22"/>
          <w:szCs w:val="22"/>
        </w:rPr>
        <w:fldChar w:fldCharType="begin"/>
      </w:r>
      <w:r>
        <w:rPr>
          <w:rFonts w:ascii="Arial" w:hAnsi="Arial" w:cs="Arial"/>
          <w:sz w:val="22"/>
          <w:szCs w:val="22"/>
        </w:rPr>
        <w:instrText xml:space="preserve"> SEQ Figura \* ARABIC </w:instrText>
      </w:r>
      <w:r>
        <w:rPr>
          <w:rFonts w:ascii="Arial" w:hAnsi="Arial" w:cs="Arial"/>
          <w:sz w:val="22"/>
          <w:szCs w:val="22"/>
        </w:rPr>
        <w:fldChar w:fldCharType="separate"/>
      </w:r>
      <w:r w:rsidR="00115AB9">
        <w:rPr>
          <w:rFonts w:ascii="Arial" w:hAnsi="Arial" w:cs="Arial"/>
          <w:noProof/>
          <w:sz w:val="22"/>
          <w:szCs w:val="22"/>
        </w:rPr>
        <w:t>4</w:t>
      </w:r>
      <w:r>
        <w:rPr>
          <w:rFonts w:ascii="Arial" w:hAnsi="Arial" w:cs="Arial"/>
          <w:sz w:val="22"/>
          <w:szCs w:val="22"/>
        </w:rPr>
        <w:fldChar w:fldCharType="end"/>
      </w:r>
      <w:r>
        <w:rPr>
          <w:rFonts w:ascii="Arial" w:hAnsi="Arial" w:cs="Arial"/>
          <w:sz w:val="22"/>
          <w:szCs w:val="22"/>
        </w:rPr>
        <w:t>: Estructura de protocolos para conexiones FTTH</w:t>
      </w:r>
    </w:p>
    <w:p w:rsidR="00E02C27" w:rsidRDefault="00E02C27" w:rsidP="00711F6C">
      <w:pPr>
        <w:pStyle w:val="Epgrafe"/>
        <w:ind w:left="709"/>
        <w:jc w:val="left"/>
        <w:rPr>
          <w:rFonts w:ascii="Arial" w:hAnsi="Arial" w:cs="Arial"/>
          <w:sz w:val="22"/>
          <w:szCs w:val="22"/>
        </w:rPr>
      </w:pPr>
    </w:p>
    <w:p w:rsidR="00F95B74" w:rsidRDefault="00F8155B" w:rsidP="00480D6B">
      <w:pPr>
        <w:ind w:left="709"/>
        <w:rPr>
          <w:rFonts w:ascii="Arial" w:hAnsi="Arial" w:cs="Arial"/>
          <w:sz w:val="24"/>
        </w:rPr>
      </w:pPr>
      <w:r>
        <w:rPr>
          <w:rFonts w:ascii="Arial" w:hAnsi="Arial" w:cs="Arial"/>
          <w:sz w:val="24"/>
        </w:rPr>
        <w:t>La</w:t>
      </w:r>
      <w:r w:rsidR="00F95B74">
        <w:rPr>
          <w:rFonts w:ascii="Arial" w:hAnsi="Arial" w:cs="Arial"/>
          <w:sz w:val="24"/>
        </w:rPr>
        <w:t xml:space="preserve">s ONT interoperables </w:t>
      </w:r>
      <w:r w:rsidR="00E3502F">
        <w:rPr>
          <w:rFonts w:ascii="Arial" w:hAnsi="Arial" w:cs="Arial"/>
          <w:sz w:val="24"/>
        </w:rPr>
        <w:t xml:space="preserve">con el servicio NEBA </w:t>
      </w:r>
      <w:r w:rsidR="00F95B74">
        <w:rPr>
          <w:rFonts w:ascii="Arial" w:hAnsi="Arial" w:cs="Arial"/>
          <w:sz w:val="24"/>
        </w:rPr>
        <w:t xml:space="preserve">están indicadas en el documento </w:t>
      </w:r>
      <w:r w:rsidR="00037CBE">
        <w:rPr>
          <w:rFonts w:ascii="Arial" w:hAnsi="Arial" w:cs="Arial"/>
          <w:sz w:val="24"/>
        </w:rPr>
        <w:t>“ANEXO V - Requisitos EDC”.</w:t>
      </w:r>
      <w:r w:rsidR="00820D92">
        <w:rPr>
          <w:rFonts w:ascii="Arial" w:hAnsi="Arial" w:cs="Arial"/>
          <w:sz w:val="24"/>
        </w:rPr>
        <w:t xml:space="preserve"> </w:t>
      </w:r>
      <w:r w:rsidR="00820D92" w:rsidRPr="00711F6C">
        <w:rPr>
          <w:rFonts w:ascii="Arial" w:hAnsi="Arial" w:cs="Arial"/>
          <w:sz w:val="24"/>
        </w:rPr>
        <w:t xml:space="preserve">El Operador solo podrá hacer uso de las ONT homologadas y enumeradas en </w:t>
      </w:r>
      <w:r w:rsidR="00820D92">
        <w:rPr>
          <w:rFonts w:ascii="Arial" w:hAnsi="Arial" w:cs="Arial"/>
          <w:sz w:val="24"/>
        </w:rPr>
        <w:t>dicho anexo</w:t>
      </w:r>
      <w:r w:rsidR="00820D92" w:rsidRPr="00711F6C">
        <w:rPr>
          <w:rFonts w:ascii="Arial" w:hAnsi="Arial" w:cs="Arial"/>
          <w:sz w:val="24"/>
        </w:rPr>
        <w:t>.</w:t>
      </w:r>
    </w:p>
    <w:p w:rsidR="00F95B74" w:rsidRDefault="00F95B74" w:rsidP="00480D6B">
      <w:pPr>
        <w:ind w:left="709"/>
        <w:rPr>
          <w:rFonts w:ascii="Arial" w:hAnsi="Arial" w:cs="Arial"/>
          <w:sz w:val="24"/>
        </w:rPr>
      </w:pPr>
    </w:p>
    <w:p w:rsidR="00F95B74" w:rsidRPr="00480D6B" w:rsidRDefault="00F95B74" w:rsidP="00480D6B">
      <w:pPr>
        <w:ind w:left="709"/>
        <w:rPr>
          <w:rFonts w:ascii="Arial" w:hAnsi="Arial" w:cs="Arial"/>
          <w:sz w:val="24"/>
        </w:rPr>
      </w:pPr>
      <w:r w:rsidRPr="00480D6B">
        <w:rPr>
          <w:rFonts w:ascii="Arial" w:hAnsi="Arial" w:cs="Arial"/>
          <w:sz w:val="24"/>
        </w:rPr>
        <w:t>Telefónica debe aceptar solicitudes razonables de homologación de ONT</w:t>
      </w:r>
      <w:r w:rsidR="00926296">
        <w:rPr>
          <w:rFonts w:ascii="Arial" w:hAnsi="Arial" w:cs="Arial"/>
          <w:sz w:val="24"/>
        </w:rPr>
        <w:t xml:space="preserve"> propuestas por los operadores. </w:t>
      </w:r>
      <w:r w:rsidRPr="00480D6B">
        <w:rPr>
          <w:rFonts w:ascii="Arial" w:hAnsi="Arial" w:cs="Arial"/>
          <w:sz w:val="24"/>
        </w:rPr>
        <w:t>Una vez homologado, el equipo se añadirá a la lista de ONTs compatibles</w:t>
      </w:r>
      <w:r w:rsidR="004F3858">
        <w:rPr>
          <w:rFonts w:ascii="Arial" w:hAnsi="Arial" w:cs="Arial"/>
          <w:sz w:val="24"/>
        </w:rPr>
        <w:t>.</w:t>
      </w:r>
    </w:p>
    <w:p w:rsidR="00E02C27" w:rsidRPr="00711F6C" w:rsidRDefault="00E02C27" w:rsidP="00711F6C">
      <w:pPr>
        <w:pStyle w:val="Epgrafe"/>
        <w:ind w:left="709"/>
        <w:jc w:val="center"/>
        <w:rPr>
          <w:rFonts w:ascii="Arial" w:hAnsi="Arial" w:cs="Arial"/>
          <w:sz w:val="22"/>
          <w:szCs w:val="22"/>
        </w:rPr>
      </w:pPr>
    </w:p>
    <w:p w:rsidR="00E02C27" w:rsidRDefault="00E02C27" w:rsidP="006B5381">
      <w:pPr>
        <w:pStyle w:val="EstiloTitulo2"/>
      </w:pPr>
      <w:bookmarkStart w:id="12" w:name="_Toc444784431"/>
      <w:r>
        <w:t>Número de VLANes, VP/VC por usuario</w:t>
      </w:r>
      <w:bookmarkEnd w:id="12"/>
    </w:p>
    <w:p w:rsidR="00E02C27" w:rsidRDefault="00E02C27">
      <w:pPr>
        <w:pStyle w:val="Textoindependiente"/>
        <w:spacing w:before="240" w:after="60"/>
        <w:ind w:left="431"/>
        <w:rPr>
          <w:rFonts w:ascii="Arial" w:hAnsi="Arial" w:cs="Arial"/>
          <w:lang w:val="es-ES"/>
        </w:rPr>
      </w:pPr>
      <w:r>
        <w:rPr>
          <w:rFonts w:ascii="Arial" w:hAnsi="Arial" w:cs="Arial"/>
          <w:lang w:val="es-ES"/>
        </w:rPr>
        <w:t>Existirá una única VLAN (VDSL2 y GPON) o VP/VC (ADSL2+) por usuario que albergará  las calidades de servicio (solución MonoVLAN – ver figura 5).</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En este caso, el equipo de cliente marca la QoS en la cabecera Ethernet, es decir, el tipo de calidad de servicio que desee cursar el cliente irá indicado en la trama Ethernet dentro del campo Identificador de VLAN (bit p). La red respeta este marcado manteniéndolo hasta la entrega del tráfico en el PAI-E del Operador. </w:t>
      </w:r>
    </w:p>
    <w:p w:rsidR="00E02C27" w:rsidRPr="00524C4B" w:rsidRDefault="00E5554F" w:rsidP="00961520">
      <w:pPr>
        <w:pStyle w:val="Textoindependiente"/>
        <w:spacing w:before="60" w:after="60"/>
        <w:ind w:left="431"/>
        <w:rPr>
          <w:rFonts w:ascii="Arial" w:hAnsi="Arial" w:cs="Arial"/>
          <w:sz w:val="12"/>
          <w:szCs w:val="12"/>
          <w:lang w:val="es-ES"/>
        </w:rPr>
      </w:pPr>
      <w:r>
        <w:rPr>
          <w:rFonts w:ascii="Arial" w:hAnsi="Arial" w:cs="Arial"/>
          <w:noProof/>
          <w:sz w:val="12"/>
          <w:szCs w:val="12"/>
          <w:lang w:val="es-ES"/>
        </w:rPr>
        <w:drawing>
          <wp:anchor distT="0" distB="0" distL="114300" distR="114300" simplePos="0" relativeHeight="251656192" behindDoc="0" locked="0" layoutInCell="1" allowOverlap="1" wp14:anchorId="78EF0401" wp14:editId="04799300">
            <wp:simplePos x="0" y="0"/>
            <wp:positionH relativeFrom="column">
              <wp:posOffset>882650</wp:posOffset>
            </wp:positionH>
            <wp:positionV relativeFrom="paragraph">
              <wp:posOffset>103505</wp:posOffset>
            </wp:positionV>
            <wp:extent cx="4616450" cy="2095500"/>
            <wp:effectExtent l="0" t="0" r="0" b="0"/>
            <wp:wrapTopAndBottom/>
            <wp:docPr id="2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6450" cy="2095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2C27" w:rsidRDefault="00E02C27">
      <w:pPr>
        <w:pStyle w:val="Epgrafe"/>
        <w:jc w:val="center"/>
        <w:rPr>
          <w:rFonts w:ascii="Arial" w:hAnsi="Arial" w:cs="Arial"/>
          <w:snapToGrid w:val="0"/>
          <w:sz w:val="22"/>
          <w:szCs w:val="22"/>
        </w:rPr>
      </w:pPr>
      <w:r>
        <w:rPr>
          <w:rFonts w:ascii="Arial" w:hAnsi="Arial" w:cs="Arial"/>
          <w:sz w:val="22"/>
          <w:szCs w:val="22"/>
        </w:rPr>
        <w:t xml:space="preserve">Figura </w:t>
      </w:r>
      <w:r>
        <w:rPr>
          <w:rFonts w:ascii="Arial" w:hAnsi="Arial" w:cs="Arial"/>
          <w:sz w:val="22"/>
          <w:szCs w:val="22"/>
        </w:rPr>
        <w:fldChar w:fldCharType="begin"/>
      </w:r>
      <w:r>
        <w:rPr>
          <w:rFonts w:ascii="Arial" w:hAnsi="Arial" w:cs="Arial"/>
          <w:sz w:val="22"/>
          <w:szCs w:val="22"/>
        </w:rPr>
        <w:instrText xml:space="preserve"> SEQ Figura \* ARABIC </w:instrText>
      </w:r>
      <w:r>
        <w:rPr>
          <w:rFonts w:ascii="Arial" w:hAnsi="Arial" w:cs="Arial"/>
          <w:sz w:val="22"/>
          <w:szCs w:val="22"/>
        </w:rPr>
        <w:fldChar w:fldCharType="separate"/>
      </w:r>
      <w:r w:rsidR="00115AB9">
        <w:rPr>
          <w:rFonts w:ascii="Arial" w:hAnsi="Arial" w:cs="Arial"/>
          <w:noProof/>
          <w:sz w:val="22"/>
          <w:szCs w:val="22"/>
        </w:rPr>
        <w:t>5</w:t>
      </w:r>
      <w:r>
        <w:rPr>
          <w:rFonts w:ascii="Arial" w:hAnsi="Arial" w:cs="Arial"/>
          <w:sz w:val="22"/>
          <w:szCs w:val="22"/>
        </w:rPr>
        <w:fldChar w:fldCharType="end"/>
      </w:r>
      <w:r>
        <w:rPr>
          <w:rFonts w:ascii="Arial" w:hAnsi="Arial" w:cs="Arial"/>
          <w:sz w:val="22"/>
          <w:szCs w:val="22"/>
        </w:rPr>
        <w:t>: Arquitectura de red MONOVLAN</w:t>
      </w:r>
    </w:p>
    <w:p w:rsidR="00961520" w:rsidRPr="00524C4B" w:rsidRDefault="00961520">
      <w:pPr>
        <w:pStyle w:val="Textoindependiente"/>
        <w:spacing w:before="60" w:after="60"/>
        <w:ind w:left="431"/>
        <w:rPr>
          <w:rFonts w:ascii="Arial" w:hAnsi="Arial" w:cs="Arial"/>
          <w:sz w:val="16"/>
          <w:szCs w:val="16"/>
          <w:lang w:val="es-ES"/>
        </w:rPr>
      </w:pP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La provisión de la VLAN entre DSLAM/OLT y el correspondiente pPAI-E para cada operador se constituirá cuando se genere la demanda de la primera conexión individual sobre dicho DSLAM/OLT. </w:t>
      </w:r>
    </w:p>
    <w:p w:rsidR="00E02C27" w:rsidRPr="00524C4B" w:rsidRDefault="00E02C27">
      <w:pPr>
        <w:pStyle w:val="Textoindependiente"/>
        <w:spacing w:before="60" w:after="60"/>
        <w:ind w:left="431"/>
        <w:rPr>
          <w:rFonts w:ascii="Arial" w:hAnsi="Arial" w:cs="Arial"/>
          <w:sz w:val="16"/>
          <w:szCs w:val="16"/>
          <w:lang w:val="es-ES"/>
        </w:rPr>
      </w:pPr>
    </w:p>
    <w:p w:rsidR="00E02C27" w:rsidRDefault="00E02C27" w:rsidP="006B5381">
      <w:pPr>
        <w:pStyle w:val="EstiloTitulo2"/>
      </w:pPr>
      <w:bookmarkStart w:id="13" w:name="_Toc444784432"/>
      <w:r>
        <w:t>Modalidades de Servicio: velocidades ascendente/descendente y combinación de servicios en el mismo acceso</w:t>
      </w:r>
      <w:bookmarkEnd w:id="13"/>
    </w:p>
    <w:p w:rsidR="00E02C27" w:rsidRDefault="00E02C27">
      <w:pPr>
        <w:pStyle w:val="Textoindependiente"/>
        <w:spacing w:before="240" w:after="60"/>
        <w:ind w:left="431"/>
        <w:rPr>
          <w:rFonts w:ascii="Arial" w:hAnsi="Arial" w:cs="Arial"/>
          <w:lang w:val="es-ES"/>
        </w:rPr>
      </w:pPr>
      <w:r>
        <w:rPr>
          <w:rFonts w:ascii="Arial" w:hAnsi="Arial" w:cs="Arial"/>
          <w:lang w:val="es-ES"/>
        </w:rPr>
        <w:t>En relación con las modalidades a ofrecer en el nuevo servicio de acceso indirecto NEBA, es importante tener en cuenta los diversos factores que afectan a la oferta comercial. Dichos factores resumidos son los siguientes:</w:t>
      </w:r>
    </w:p>
    <w:p w:rsidR="00E02C27" w:rsidRDefault="00E02C27">
      <w:pPr>
        <w:pStyle w:val="Textoindependiente"/>
        <w:numPr>
          <w:ilvl w:val="0"/>
          <w:numId w:val="27"/>
        </w:numPr>
        <w:tabs>
          <w:tab w:val="clear" w:pos="1656"/>
          <w:tab w:val="num" w:pos="1236"/>
        </w:tabs>
        <w:spacing w:before="60" w:after="60"/>
        <w:ind w:left="1236"/>
        <w:rPr>
          <w:rFonts w:ascii="Arial" w:hAnsi="Arial" w:cs="Arial"/>
          <w:lang w:val="es-ES"/>
        </w:rPr>
      </w:pPr>
      <w:r>
        <w:rPr>
          <w:rFonts w:ascii="Arial" w:hAnsi="Arial" w:cs="Arial"/>
          <w:lang w:val="es-ES"/>
        </w:rPr>
        <w:t>Las calidades de servicio, QoS: Best Effort, Oro y Real Time.</w:t>
      </w:r>
    </w:p>
    <w:p w:rsidR="00E02C27" w:rsidRDefault="00E02C27">
      <w:pPr>
        <w:pStyle w:val="Textoindependiente"/>
        <w:numPr>
          <w:ilvl w:val="0"/>
          <w:numId w:val="27"/>
        </w:numPr>
        <w:tabs>
          <w:tab w:val="clear" w:pos="1656"/>
          <w:tab w:val="num" w:pos="1236"/>
        </w:tabs>
        <w:spacing w:before="60" w:after="60"/>
        <w:ind w:left="1236"/>
        <w:rPr>
          <w:rFonts w:ascii="Arial" w:hAnsi="Arial" w:cs="Arial"/>
          <w:lang w:val="es-ES"/>
        </w:rPr>
      </w:pPr>
      <w:r>
        <w:rPr>
          <w:rFonts w:ascii="Arial" w:hAnsi="Arial" w:cs="Arial"/>
          <w:lang w:val="es-ES"/>
        </w:rPr>
        <w:t xml:space="preserve">Las posibilidades de combinación de las QoS en un acceso, en relación con lo cual debe tenerse en cuenta la necesidad de definir, diseñar e implantar los perfiles asociados a cada una de las que se establezcan. Los perfiles deben incorporarse en los sistemas de gestión / provisión y en los nodos de acceso. </w:t>
      </w:r>
    </w:p>
    <w:p w:rsidR="00E02C27" w:rsidRDefault="00E02C27" w:rsidP="008B0636">
      <w:pPr>
        <w:pStyle w:val="Textoindependiente"/>
        <w:numPr>
          <w:ilvl w:val="0"/>
          <w:numId w:val="27"/>
        </w:numPr>
        <w:tabs>
          <w:tab w:val="clear" w:pos="1656"/>
          <w:tab w:val="num" w:pos="1236"/>
        </w:tabs>
        <w:spacing w:before="60" w:after="60"/>
        <w:ind w:left="1236"/>
        <w:rPr>
          <w:rFonts w:ascii="Arial" w:hAnsi="Arial" w:cs="Arial"/>
          <w:lang w:val="es-ES"/>
        </w:rPr>
      </w:pPr>
      <w:r>
        <w:rPr>
          <w:rFonts w:ascii="Arial" w:hAnsi="Arial" w:cs="Arial"/>
          <w:lang w:val="es-ES"/>
        </w:rPr>
        <w:t>Las necesidades de caracterización de la planta asociada a los perfiles comerciales</w:t>
      </w:r>
      <w:r w:rsidR="00035C19">
        <w:rPr>
          <w:rFonts w:ascii="Arial" w:hAnsi="Arial" w:cs="Arial"/>
          <w:lang w:val="es-ES"/>
        </w:rPr>
        <w:t xml:space="preserve"> que lo requieran</w:t>
      </w:r>
      <w:r>
        <w:rPr>
          <w:rFonts w:ascii="Arial" w:hAnsi="Arial" w:cs="Arial"/>
          <w:lang w:val="es-ES"/>
        </w:rPr>
        <w:t xml:space="preserve">, en función de la QoS y las velocidades descendente y ascendente. Deben identificarse los perfiles de validación asociados a </w:t>
      </w:r>
      <w:r w:rsidR="008B0636">
        <w:rPr>
          <w:rFonts w:ascii="Arial" w:hAnsi="Arial" w:cs="Arial"/>
          <w:lang w:val="es-ES"/>
        </w:rPr>
        <w:t>cada</w:t>
      </w:r>
      <w:r w:rsidR="00B634D5">
        <w:rPr>
          <w:rFonts w:ascii="Arial" w:hAnsi="Arial" w:cs="Arial"/>
          <w:lang w:val="es-ES"/>
        </w:rPr>
        <w:t xml:space="preserve"> </w:t>
      </w:r>
      <w:r>
        <w:rPr>
          <w:rFonts w:ascii="Arial" w:hAnsi="Arial" w:cs="Arial"/>
          <w:lang w:val="es-ES"/>
        </w:rPr>
        <w:t>modalidad de acceso indirecto</w:t>
      </w:r>
      <w:r w:rsidR="008B0636">
        <w:rPr>
          <w:rFonts w:ascii="Arial" w:hAnsi="Arial" w:cs="Arial"/>
          <w:lang w:val="es-ES"/>
        </w:rPr>
        <w:t xml:space="preserve">, que </w:t>
      </w:r>
      <w:r w:rsidR="00D3609F">
        <w:rPr>
          <w:rFonts w:ascii="Arial" w:hAnsi="Arial" w:cs="Arial"/>
          <w:lang w:val="es-ES"/>
        </w:rPr>
        <w:t>indica</w:t>
      </w:r>
      <w:r w:rsidR="008B0636">
        <w:rPr>
          <w:rFonts w:ascii="Arial" w:hAnsi="Arial" w:cs="Arial"/>
          <w:lang w:val="es-ES"/>
        </w:rPr>
        <w:t>n</w:t>
      </w:r>
      <w:r w:rsidR="00D3609F">
        <w:rPr>
          <w:rFonts w:ascii="Arial" w:hAnsi="Arial" w:cs="Arial"/>
          <w:lang w:val="es-ES"/>
        </w:rPr>
        <w:t xml:space="preserve"> la velocidad mínima de sincronización del par. </w:t>
      </w:r>
      <w:r>
        <w:rPr>
          <w:rFonts w:ascii="Arial" w:hAnsi="Arial" w:cs="Arial"/>
          <w:lang w:val="es-ES"/>
        </w:rPr>
        <w:t>La necesidad de perfiles de validación y, consiguientemente, de caracterización de la planta</w:t>
      </w:r>
      <w:r w:rsidR="00D3609F">
        <w:rPr>
          <w:rFonts w:ascii="Arial" w:hAnsi="Arial" w:cs="Arial"/>
          <w:lang w:val="es-ES"/>
        </w:rPr>
        <w:t xml:space="preserve"> en las modalidades que lo requieran</w:t>
      </w:r>
      <w:r>
        <w:rPr>
          <w:rFonts w:ascii="Arial" w:hAnsi="Arial" w:cs="Arial"/>
          <w:lang w:val="es-ES"/>
        </w:rPr>
        <w:t xml:space="preserve">, sólo es aplicable a las tecnologías sobre cobre (ADSL2+ y VDSL2). </w:t>
      </w:r>
    </w:p>
    <w:p w:rsidR="00E02C27" w:rsidRDefault="00E02C27">
      <w:pPr>
        <w:pStyle w:val="Textoindependiente"/>
        <w:numPr>
          <w:ilvl w:val="0"/>
          <w:numId w:val="27"/>
        </w:numPr>
        <w:tabs>
          <w:tab w:val="clear" w:pos="1656"/>
          <w:tab w:val="num" w:pos="1236"/>
        </w:tabs>
        <w:spacing w:before="60" w:after="60"/>
        <w:ind w:left="1236"/>
        <w:rPr>
          <w:rFonts w:ascii="Arial" w:hAnsi="Arial" w:cs="Arial"/>
          <w:lang w:val="es-ES"/>
        </w:rPr>
      </w:pPr>
      <w:r>
        <w:rPr>
          <w:rFonts w:ascii="Arial" w:hAnsi="Arial" w:cs="Arial"/>
          <w:lang w:val="es-ES"/>
        </w:rPr>
        <w:t xml:space="preserve">Las limitaciones de cada tipo de nodo de acceso (DSLAM y OLT) en términos de capacidad o número máximo de perfiles comerciales implementables. </w:t>
      </w:r>
    </w:p>
    <w:p w:rsidR="00E02C27" w:rsidRDefault="00E02C27">
      <w:pPr>
        <w:pStyle w:val="Textoindependiente"/>
        <w:numPr>
          <w:ilvl w:val="0"/>
          <w:numId w:val="27"/>
        </w:numPr>
        <w:tabs>
          <w:tab w:val="clear" w:pos="1656"/>
          <w:tab w:val="num" w:pos="1236"/>
        </w:tabs>
        <w:spacing w:before="60" w:after="60"/>
        <w:ind w:left="1236"/>
        <w:rPr>
          <w:rFonts w:ascii="Arial" w:hAnsi="Arial" w:cs="Arial"/>
          <w:lang w:val="es-ES"/>
        </w:rPr>
      </w:pPr>
      <w:r>
        <w:rPr>
          <w:rFonts w:ascii="Arial" w:hAnsi="Arial" w:cs="Arial"/>
          <w:lang w:val="es-ES"/>
        </w:rPr>
        <w:t>La necesidad de alcanzar un equilibrio entre el número de perfiles idealmente deseados por los operadores, las limitaciones de los equipos y la lógica de un catálogo de servicios comercialmente manejable, es decir, la racionalización de la oferta que conjugue número de perfiles comerciales con las limitaciones indicadas.</w:t>
      </w:r>
    </w:p>
    <w:p w:rsidR="00E02C27" w:rsidRDefault="00E02C27">
      <w:pPr>
        <w:pStyle w:val="Textoindependiente"/>
        <w:numPr>
          <w:ilvl w:val="0"/>
          <w:numId w:val="27"/>
        </w:numPr>
        <w:tabs>
          <w:tab w:val="clear" w:pos="1656"/>
          <w:tab w:val="num" w:pos="1236"/>
        </w:tabs>
        <w:spacing w:before="60" w:after="60"/>
        <w:ind w:left="1236"/>
        <w:rPr>
          <w:rFonts w:ascii="Arial" w:hAnsi="Arial" w:cs="Arial"/>
          <w:lang w:val="es-ES"/>
        </w:rPr>
      </w:pPr>
      <w:r>
        <w:rPr>
          <w:rFonts w:ascii="Arial" w:hAnsi="Arial" w:cs="Arial"/>
          <w:lang w:val="es-ES"/>
        </w:rPr>
        <w:t xml:space="preserve">La flexibilidad de la oferta mayorista, de forma que sobre la base de un perfil, el operador pueda desarrollar sus propias ofertas minoristas, haciendo innecesaria una oferta mayorista  exhaustiva que replique uno a uno cualquier oferta minorista de </w:t>
      </w:r>
      <w:r w:rsidR="009D686F">
        <w:rPr>
          <w:rFonts w:ascii="Arial" w:hAnsi="Arial" w:cs="Arial"/>
          <w:lang w:val="es-ES"/>
        </w:rPr>
        <w:t>Telefónica</w:t>
      </w:r>
      <w:r>
        <w:rPr>
          <w:rFonts w:ascii="Arial" w:hAnsi="Arial" w:cs="Arial"/>
          <w:lang w:val="es-ES"/>
        </w:rPr>
        <w:t>.</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En consecuencia, en la elaboración de la oferta </w:t>
      </w:r>
      <w:r w:rsidR="00654FEE">
        <w:rPr>
          <w:rFonts w:ascii="Arial" w:hAnsi="Arial" w:cs="Arial"/>
          <w:lang w:val="es-ES"/>
        </w:rPr>
        <w:t xml:space="preserve">inicial </w:t>
      </w:r>
      <w:r>
        <w:rPr>
          <w:rFonts w:ascii="Arial" w:hAnsi="Arial" w:cs="Arial"/>
          <w:lang w:val="es-ES"/>
        </w:rPr>
        <w:t>de perfiles se han tenido en cuenta los siguientes criterios generales:</w:t>
      </w:r>
    </w:p>
    <w:p w:rsidR="00E02C27" w:rsidRDefault="00E02C27">
      <w:pPr>
        <w:pStyle w:val="Textoindependiente"/>
        <w:numPr>
          <w:ilvl w:val="0"/>
          <w:numId w:val="59"/>
        </w:numPr>
        <w:spacing w:before="60" w:after="60"/>
        <w:rPr>
          <w:rFonts w:ascii="Arial" w:hAnsi="Arial" w:cs="Arial"/>
          <w:lang w:val="es-ES"/>
        </w:rPr>
      </w:pPr>
      <w:r>
        <w:rPr>
          <w:rFonts w:ascii="Arial" w:hAnsi="Arial" w:cs="Arial"/>
          <w:lang w:val="es-ES"/>
        </w:rPr>
        <w:t>En ADSL2+ las limitaciones físicas de los bucles aconsejan perfiles ajustados a las aptitudes de éstos, de otra forma la experiencia de usuario podría resentirse. Por ejemplo, disponibilidad de perfiles de bajo ancho de banda adecuados para bucles largos.</w:t>
      </w:r>
    </w:p>
    <w:p w:rsidR="00E02C27" w:rsidRDefault="00E02C27">
      <w:pPr>
        <w:pStyle w:val="Textoindependiente"/>
        <w:numPr>
          <w:ilvl w:val="0"/>
          <w:numId w:val="59"/>
        </w:numPr>
        <w:spacing w:before="60" w:after="60"/>
        <w:rPr>
          <w:rFonts w:ascii="Arial" w:hAnsi="Arial" w:cs="Arial"/>
          <w:lang w:val="es-ES"/>
        </w:rPr>
      </w:pPr>
      <w:r>
        <w:rPr>
          <w:rFonts w:ascii="Arial" w:hAnsi="Arial" w:cs="Arial"/>
          <w:lang w:val="es-ES"/>
        </w:rPr>
        <w:t>En VDSL2 se considera un criterio de aptitud superior y más exigente a la máxima velocidad soportada por ADSL2+, que permite para cualquier par compatible que no exista limitación alguna para cualquiera de las modalidades ofrecidas.</w:t>
      </w:r>
    </w:p>
    <w:p w:rsidR="00E02C27" w:rsidRDefault="00E02C27">
      <w:pPr>
        <w:pStyle w:val="Textoindependiente"/>
        <w:numPr>
          <w:ilvl w:val="0"/>
          <w:numId w:val="59"/>
        </w:numPr>
        <w:spacing w:before="60" w:after="60"/>
        <w:rPr>
          <w:rFonts w:ascii="Arial" w:hAnsi="Arial" w:cs="Arial"/>
          <w:lang w:val="es-ES"/>
        </w:rPr>
      </w:pPr>
      <w:r>
        <w:rPr>
          <w:rFonts w:ascii="Arial" w:hAnsi="Arial" w:cs="Arial"/>
          <w:lang w:val="es-ES"/>
        </w:rPr>
        <w:t>En GPON no es el bucle lo que genera limitación alguna sino la propia tecnología.</w:t>
      </w:r>
    </w:p>
    <w:p w:rsidR="00E02C27" w:rsidRDefault="00E02C27">
      <w:pPr>
        <w:pStyle w:val="Textoindependiente"/>
        <w:numPr>
          <w:ilvl w:val="0"/>
          <w:numId w:val="59"/>
        </w:numPr>
        <w:spacing w:before="60" w:after="60"/>
        <w:rPr>
          <w:rFonts w:ascii="Arial" w:hAnsi="Arial" w:cs="Arial"/>
          <w:lang w:val="es-ES"/>
        </w:rPr>
      </w:pPr>
      <w:r>
        <w:rPr>
          <w:rFonts w:ascii="Arial" w:hAnsi="Arial" w:cs="Arial"/>
          <w:lang w:val="es-ES"/>
        </w:rPr>
        <w:t>El establecimiento de perfiles debe permitir una estimación de dimensionamiento de red.</w:t>
      </w:r>
    </w:p>
    <w:p w:rsidR="00E02C27" w:rsidRDefault="00E02C27">
      <w:pPr>
        <w:pStyle w:val="Textoindependiente"/>
        <w:numPr>
          <w:ilvl w:val="0"/>
          <w:numId w:val="59"/>
        </w:numPr>
        <w:spacing w:before="60" w:after="60"/>
        <w:rPr>
          <w:rFonts w:ascii="Arial" w:hAnsi="Arial" w:cs="Arial"/>
          <w:lang w:val="es-ES"/>
        </w:rPr>
      </w:pPr>
      <w:r>
        <w:rPr>
          <w:rFonts w:ascii="Arial" w:hAnsi="Arial" w:cs="Arial"/>
          <w:lang w:val="es-ES"/>
        </w:rPr>
        <w:t xml:space="preserve">Ulteriormente se podrán desarrollar nuevos perfiles de acuerdo con la demanda y la capacidad disponible. </w:t>
      </w:r>
    </w:p>
    <w:p w:rsidR="00185C66" w:rsidRDefault="00185C66" w:rsidP="006F3E19">
      <w:pPr>
        <w:pStyle w:val="Textoindependiente"/>
        <w:spacing w:before="60" w:after="60"/>
        <w:ind w:left="431"/>
        <w:rPr>
          <w:rFonts w:ascii="Arial" w:hAnsi="Arial" w:cs="Arial"/>
          <w:lang w:val="es-ES"/>
        </w:rPr>
      </w:pPr>
      <w:r>
        <w:rPr>
          <w:rFonts w:ascii="Arial" w:hAnsi="Arial" w:cs="Arial"/>
          <w:lang w:val="es-ES"/>
        </w:rPr>
        <w:t>Los perfiles concretos disponibles para su contratación están disponibles en el Anexo I (procedimientos del servicio).</w:t>
      </w:r>
    </w:p>
    <w:p w:rsidR="00E02C27" w:rsidRDefault="00E02C27" w:rsidP="00AF32C8">
      <w:pPr>
        <w:pStyle w:val="EstiloTtulo3"/>
      </w:pPr>
      <w:bookmarkStart w:id="14" w:name="_Toc444784433"/>
      <w:r>
        <w:t>Perfiles comerciales</w:t>
      </w:r>
      <w:r w:rsidR="00A53F00">
        <w:t xml:space="preserve"> </w:t>
      </w:r>
      <w:r>
        <w:t>(de contratación) sobre  tecnología ADSL2+</w:t>
      </w:r>
      <w:bookmarkEnd w:id="14"/>
    </w:p>
    <w:p w:rsidR="00E02C27" w:rsidRDefault="00E02C27">
      <w:pPr>
        <w:spacing w:before="60" w:after="60"/>
        <w:ind w:left="720"/>
        <w:rPr>
          <w:rFonts w:ascii="Arial" w:hAnsi="Arial" w:cs="Arial"/>
          <w:sz w:val="24"/>
          <w:szCs w:val="24"/>
        </w:rPr>
      </w:pPr>
      <w:r>
        <w:rPr>
          <w:rFonts w:ascii="Arial" w:hAnsi="Arial" w:cs="Arial"/>
          <w:sz w:val="24"/>
          <w:szCs w:val="24"/>
        </w:rPr>
        <w:t xml:space="preserve">En el caso de la tecnología ADSL2+, se distingue una casuística específica para los servicios de acceso indirecto con calidad RT, a saber, que las modalidades comerciales que incluyan QoS de tipo </w:t>
      </w:r>
      <w:r>
        <w:rPr>
          <w:rFonts w:ascii="Arial" w:hAnsi="Arial" w:cs="Arial"/>
          <w:i/>
          <w:sz w:val="24"/>
          <w:szCs w:val="24"/>
        </w:rPr>
        <w:t>real time</w:t>
      </w:r>
      <w:r>
        <w:rPr>
          <w:rFonts w:ascii="Arial" w:hAnsi="Arial" w:cs="Arial"/>
          <w:sz w:val="24"/>
          <w:szCs w:val="24"/>
        </w:rPr>
        <w:t xml:space="preserve"> (RT) tienen requisitos más estrictos en cuanto a la validación, como se indica posteriormente en la columna de “perfil de validación exigido” de la tabla de modalidades. En ella se puede observar que las modalidades que incluyen caudales con RT tienen un perfil de validación mayor que las modalidades equivalentes que no disponen de RT. </w:t>
      </w:r>
    </w:p>
    <w:p w:rsidR="00E02C27" w:rsidRDefault="00E02C27" w:rsidP="009017BD">
      <w:pPr>
        <w:spacing w:before="60" w:after="60"/>
        <w:ind w:left="720"/>
        <w:rPr>
          <w:rFonts w:ascii="Arial" w:hAnsi="Arial" w:cs="Arial"/>
          <w:sz w:val="24"/>
          <w:szCs w:val="24"/>
        </w:rPr>
      </w:pPr>
      <w:r>
        <w:rPr>
          <w:rFonts w:ascii="Arial" w:hAnsi="Arial" w:cs="Arial"/>
          <w:sz w:val="24"/>
          <w:szCs w:val="24"/>
        </w:rPr>
        <w:t>Los criterios específicos de</w:t>
      </w:r>
      <w:r w:rsidR="009017BD">
        <w:rPr>
          <w:rFonts w:ascii="Arial" w:hAnsi="Arial" w:cs="Arial"/>
          <w:sz w:val="24"/>
          <w:szCs w:val="24"/>
        </w:rPr>
        <w:t xml:space="preserve"> los</w:t>
      </w:r>
      <w:r>
        <w:rPr>
          <w:rFonts w:ascii="Arial" w:hAnsi="Arial" w:cs="Arial"/>
          <w:sz w:val="24"/>
          <w:szCs w:val="24"/>
        </w:rPr>
        <w:t xml:space="preserve"> perfiles comerciales de ADSL2+ se detallan a continuación:</w:t>
      </w:r>
    </w:p>
    <w:p w:rsidR="00E02C27" w:rsidRPr="00524C4B" w:rsidRDefault="00E02C27">
      <w:pPr>
        <w:pStyle w:val="Textoindependiente"/>
        <w:ind w:left="1418" w:hanging="545"/>
        <w:rPr>
          <w:rFonts w:ascii="Arial" w:hAnsi="Arial" w:cs="Arial"/>
          <w:sz w:val="12"/>
          <w:szCs w:val="12"/>
          <w:lang w:val="es-ES"/>
        </w:rPr>
      </w:pPr>
    </w:p>
    <w:tbl>
      <w:tblPr>
        <w:tblpPr w:leftFromText="141" w:rightFromText="141" w:vertAnchor="text" w:tblpX="180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995"/>
      </w:tblGrid>
      <w:tr w:rsidR="00E02C27">
        <w:tc>
          <w:tcPr>
            <w:tcW w:w="8222" w:type="dxa"/>
            <w:gridSpan w:val="2"/>
          </w:tcPr>
          <w:p w:rsidR="00E02C27" w:rsidRDefault="00E02C27">
            <w:pPr>
              <w:pStyle w:val="Textoindependiente"/>
              <w:spacing w:before="60" w:after="60"/>
              <w:ind w:left="0"/>
              <w:jc w:val="center"/>
              <w:rPr>
                <w:rFonts w:ascii="Arial" w:hAnsi="Arial" w:cs="Arial"/>
                <w:b/>
                <w:sz w:val="20"/>
                <w:lang w:val="es-ES"/>
              </w:rPr>
            </w:pPr>
            <w:r>
              <w:rPr>
                <w:rFonts w:ascii="Arial" w:hAnsi="Arial" w:cs="Arial"/>
                <w:b/>
                <w:sz w:val="20"/>
                <w:lang w:val="es-ES"/>
              </w:rPr>
              <w:t>Tecnología ADSL 2+</w:t>
            </w:r>
          </w:p>
        </w:tc>
      </w:tr>
      <w:tr w:rsidR="00E02C27">
        <w:tc>
          <w:tcPr>
            <w:tcW w:w="3227" w:type="dxa"/>
          </w:tcPr>
          <w:p w:rsidR="00E02C27" w:rsidRDefault="00E02C27">
            <w:pPr>
              <w:pStyle w:val="Textoindependiente"/>
              <w:spacing w:before="60" w:after="60"/>
              <w:ind w:left="0"/>
              <w:jc w:val="center"/>
              <w:rPr>
                <w:rFonts w:ascii="Arial" w:hAnsi="Arial" w:cs="Arial"/>
                <w:i/>
                <w:sz w:val="20"/>
                <w:lang w:val="es-ES"/>
              </w:rPr>
            </w:pPr>
            <w:r>
              <w:rPr>
                <w:rFonts w:ascii="Arial" w:hAnsi="Arial" w:cs="Arial"/>
                <w:i/>
                <w:sz w:val="20"/>
                <w:lang w:val="es-ES"/>
              </w:rPr>
              <w:t>Criterio</w:t>
            </w:r>
          </w:p>
        </w:tc>
        <w:tc>
          <w:tcPr>
            <w:tcW w:w="4995" w:type="dxa"/>
          </w:tcPr>
          <w:p w:rsidR="00E02C27" w:rsidRDefault="00E02C27">
            <w:pPr>
              <w:pStyle w:val="Textoindependiente"/>
              <w:spacing w:before="60" w:after="60"/>
              <w:ind w:left="0"/>
              <w:jc w:val="center"/>
              <w:rPr>
                <w:rFonts w:ascii="Arial" w:hAnsi="Arial" w:cs="Arial"/>
                <w:i/>
                <w:sz w:val="20"/>
                <w:lang w:val="es-ES"/>
              </w:rPr>
            </w:pPr>
            <w:r>
              <w:rPr>
                <w:rFonts w:ascii="Arial" w:hAnsi="Arial" w:cs="Arial"/>
                <w:i/>
                <w:sz w:val="20"/>
                <w:lang w:val="es-ES"/>
              </w:rPr>
              <w:t>Descripción</w:t>
            </w:r>
          </w:p>
        </w:tc>
      </w:tr>
      <w:tr w:rsidR="00E02C27">
        <w:tc>
          <w:tcPr>
            <w:tcW w:w="3227"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 xml:space="preserve">Máx V down = 20 Mbps </w:t>
            </w:r>
            <w:r>
              <w:rPr>
                <w:rFonts w:ascii="Arial" w:hAnsi="Arial" w:cs="Arial"/>
                <w:sz w:val="20"/>
                <w:lang w:val="es-ES"/>
              </w:rPr>
              <w:tab/>
            </w:r>
          </w:p>
        </w:tc>
        <w:tc>
          <w:tcPr>
            <w:tcW w:w="4995"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Limitación de la tecnología. Velocidad medida en ATM.</w:t>
            </w:r>
          </w:p>
        </w:tc>
      </w:tr>
      <w:tr w:rsidR="00E02C27">
        <w:tc>
          <w:tcPr>
            <w:tcW w:w="3227"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Máx V up = 800 Kpbs</w:t>
            </w:r>
            <w:r>
              <w:rPr>
                <w:rFonts w:ascii="Arial" w:hAnsi="Arial" w:cs="Arial"/>
                <w:sz w:val="20"/>
                <w:lang w:val="en-GB"/>
              </w:rPr>
              <w:tab/>
            </w:r>
          </w:p>
        </w:tc>
        <w:tc>
          <w:tcPr>
            <w:tcW w:w="4995"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Limitación de la tecnología (</w:t>
            </w:r>
            <w:r w:rsidR="009D686F">
              <w:rPr>
                <w:rFonts w:ascii="Arial" w:hAnsi="Arial" w:cs="Arial"/>
                <w:sz w:val="20"/>
                <w:lang w:val="es-ES"/>
              </w:rPr>
              <w:t>Telefónica</w:t>
            </w:r>
            <w:r>
              <w:rPr>
                <w:rFonts w:ascii="Arial" w:hAnsi="Arial" w:cs="Arial"/>
                <w:sz w:val="20"/>
                <w:lang w:val="es-ES"/>
              </w:rPr>
              <w:t xml:space="preserve"> no tiene implementado el Anexo M sobre sus DSLAM IP). Velocidad medida en ATM.</w:t>
            </w:r>
          </w:p>
        </w:tc>
      </w:tr>
      <w:tr w:rsidR="00E02C27">
        <w:tc>
          <w:tcPr>
            <w:tcW w:w="3227"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V down &gt;= V up</w:t>
            </w:r>
          </w:p>
        </w:tc>
        <w:tc>
          <w:tcPr>
            <w:tcW w:w="4995"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Excepto para QoS RT</w:t>
            </w:r>
          </w:p>
        </w:tc>
      </w:tr>
    </w:tbl>
    <w:p w:rsidR="00E02C27" w:rsidRDefault="00E02C27">
      <w:pPr>
        <w:pStyle w:val="Textoindependiente"/>
        <w:ind w:left="1418" w:hanging="545"/>
        <w:rPr>
          <w:rFonts w:ascii="Arial" w:hAnsi="Arial" w:cs="Arial"/>
          <w:lang w:val="es-ES"/>
        </w:rPr>
      </w:pPr>
      <w:r>
        <w:rPr>
          <w:rFonts w:ascii="Arial" w:hAnsi="Arial" w:cs="Arial"/>
          <w:lang w:val="es-ES"/>
        </w:rPr>
        <w:br w:type="textWrapping" w:clear="all"/>
      </w:r>
    </w:p>
    <w:p w:rsidR="00E02C27" w:rsidRDefault="00E02C27">
      <w:pPr>
        <w:pStyle w:val="Textoindependiente"/>
        <w:ind w:left="1418" w:hanging="545"/>
        <w:rPr>
          <w:rFonts w:ascii="Arial" w:hAnsi="Arial" w:cs="Arial"/>
        </w:rPr>
      </w:pPr>
    </w:p>
    <w:p w:rsidR="00E02C27" w:rsidRDefault="00E02C27" w:rsidP="00AF32C8">
      <w:pPr>
        <w:pStyle w:val="EstiloTtulo3"/>
      </w:pPr>
      <w:bookmarkStart w:id="15" w:name="_Toc444784434"/>
      <w:r>
        <w:t>Perfiles comerciales tecnología VDSL2</w:t>
      </w:r>
      <w:bookmarkEnd w:id="15"/>
    </w:p>
    <w:p w:rsidR="00E02C27" w:rsidRDefault="00E02C27" w:rsidP="009017BD">
      <w:pPr>
        <w:pStyle w:val="Textoindependiente"/>
        <w:ind w:left="709"/>
        <w:rPr>
          <w:rFonts w:ascii="Arial" w:hAnsi="Arial" w:cs="Arial"/>
          <w:iCs/>
          <w:u w:val="single"/>
          <w:lang w:val="es-ES"/>
        </w:rPr>
      </w:pPr>
      <w:r>
        <w:rPr>
          <w:rFonts w:ascii="Arial" w:hAnsi="Arial" w:cs="Arial"/>
          <w:iCs/>
          <w:lang w:val="es-ES"/>
        </w:rPr>
        <w:t xml:space="preserve">Los criterios específicos de </w:t>
      </w:r>
      <w:r w:rsidR="009017BD">
        <w:rPr>
          <w:rFonts w:ascii="Arial" w:hAnsi="Arial" w:cs="Arial"/>
          <w:iCs/>
          <w:lang w:val="es-ES"/>
        </w:rPr>
        <w:t xml:space="preserve">los </w:t>
      </w:r>
      <w:r>
        <w:rPr>
          <w:rFonts w:ascii="Arial" w:hAnsi="Arial" w:cs="Arial"/>
          <w:iCs/>
          <w:lang w:val="es-ES"/>
        </w:rPr>
        <w:t>perfiles comerciales de VDSL2 se detallan a continuación:</w:t>
      </w:r>
    </w:p>
    <w:p w:rsidR="00E02C27" w:rsidRDefault="00E02C27">
      <w:pPr>
        <w:pStyle w:val="Textoindependiente"/>
        <w:ind w:left="1418" w:hanging="545"/>
        <w:rPr>
          <w:rFonts w:ascii="Arial" w:hAnsi="Arial" w:cs="Arial"/>
          <w:lang w:val="es-ES"/>
        </w:rPr>
      </w:pPr>
    </w:p>
    <w:tbl>
      <w:tblPr>
        <w:tblpPr w:leftFromText="141" w:rightFromText="141" w:vertAnchor="text" w:tblpX="180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4286"/>
      </w:tblGrid>
      <w:tr w:rsidR="00E02C27">
        <w:tc>
          <w:tcPr>
            <w:tcW w:w="8222" w:type="dxa"/>
            <w:gridSpan w:val="2"/>
          </w:tcPr>
          <w:p w:rsidR="00E02C27" w:rsidRDefault="00E02C27">
            <w:pPr>
              <w:pStyle w:val="Textoindependiente"/>
              <w:spacing w:before="60" w:after="60"/>
              <w:ind w:left="0"/>
              <w:jc w:val="center"/>
              <w:rPr>
                <w:rFonts w:ascii="Arial" w:hAnsi="Arial" w:cs="Arial"/>
                <w:b/>
                <w:sz w:val="20"/>
                <w:lang w:val="es-ES"/>
              </w:rPr>
            </w:pPr>
            <w:r>
              <w:rPr>
                <w:rFonts w:ascii="Arial" w:hAnsi="Arial" w:cs="Arial"/>
                <w:b/>
                <w:sz w:val="20"/>
                <w:lang w:val="es-ES"/>
              </w:rPr>
              <w:t>Tecnología VDSL2</w:t>
            </w:r>
          </w:p>
        </w:tc>
      </w:tr>
      <w:tr w:rsidR="00E02C27">
        <w:tc>
          <w:tcPr>
            <w:tcW w:w="3936" w:type="dxa"/>
          </w:tcPr>
          <w:p w:rsidR="00E02C27" w:rsidRDefault="00E02C27">
            <w:pPr>
              <w:pStyle w:val="Textoindependiente"/>
              <w:spacing w:before="60" w:after="60"/>
              <w:ind w:left="0"/>
              <w:jc w:val="center"/>
              <w:rPr>
                <w:rFonts w:ascii="Arial" w:hAnsi="Arial" w:cs="Arial"/>
                <w:i/>
                <w:sz w:val="20"/>
                <w:lang w:val="es-ES"/>
              </w:rPr>
            </w:pPr>
            <w:r>
              <w:rPr>
                <w:rFonts w:ascii="Arial" w:hAnsi="Arial" w:cs="Arial"/>
                <w:i/>
                <w:sz w:val="20"/>
                <w:lang w:val="es-ES"/>
              </w:rPr>
              <w:t>Criterio</w:t>
            </w:r>
          </w:p>
        </w:tc>
        <w:tc>
          <w:tcPr>
            <w:tcW w:w="4286" w:type="dxa"/>
          </w:tcPr>
          <w:p w:rsidR="00E02C27" w:rsidRDefault="00E02C27">
            <w:pPr>
              <w:pStyle w:val="Textoindependiente"/>
              <w:spacing w:before="60" w:after="60"/>
              <w:ind w:left="0"/>
              <w:jc w:val="center"/>
              <w:rPr>
                <w:rFonts w:ascii="Arial" w:hAnsi="Arial" w:cs="Arial"/>
                <w:i/>
                <w:sz w:val="20"/>
                <w:lang w:val="es-ES"/>
              </w:rPr>
            </w:pPr>
            <w:r>
              <w:rPr>
                <w:rFonts w:ascii="Arial" w:hAnsi="Arial" w:cs="Arial"/>
                <w:i/>
                <w:sz w:val="20"/>
                <w:lang w:val="es-ES"/>
              </w:rPr>
              <w:t>Descripción</w:t>
            </w:r>
          </w:p>
        </w:tc>
      </w:tr>
      <w:tr w:rsidR="00E02C27">
        <w:tc>
          <w:tcPr>
            <w:tcW w:w="393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 xml:space="preserve">∑ V total down &lt;= 30 Mbps </w:t>
            </w:r>
            <w:r>
              <w:rPr>
                <w:rFonts w:ascii="Arial" w:hAnsi="Arial" w:cs="Arial"/>
                <w:sz w:val="20"/>
                <w:lang w:val="es-ES"/>
              </w:rPr>
              <w:tab/>
            </w:r>
          </w:p>
        </w:tc>
        <w:tc>
          <w:tcPr>
            <w:tcW w:w="428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Según Análisis de Mercado 5.</w:t>
            </w:r>
          </w:p>
        </w:tc>
      </w:tr>
      <w:tr w:rsidR="00E02C27">
        <w:tc>
          <w:tcPr>
            <w:tcW w:w="3936"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 xml:space="preserve">∑ V total down &gt;= 10 Mb </w:t>
            </w:r>
          </w:p>
        </w:tc>
        <w:tc>
          <w:tcPr>
            <w:tcW w:w="428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Excepto simétricos</w:t>
            </w:r>
          </w:p>
        </w:tc>
      </w:tr>
      <w:tr w:rsidR="00E02C27">
        <w:tc>
          <w:tcPr>
            <w:tcW w:w="393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 xml:space="preserve">∑ V total up &lt;= 3 Mbps </w:t>
            </w:r>
          </w:p>
        </w:tc>
        <w:tc>
          <w:tcPr>
            <w:tcW w:w="428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 xml:space="preserve">Según implementación actual de </w:t>
            </w:r>
            <w:r w:rsidR="009D686F">
              <w:rPr>
                <w:rFonts w:ascii="Arial" w:hAnsi="Arial" w:cs="Arial"/>
                <w:sz w:val="20"/>
                <w:lang w:val="es-ES"/>
              </w:rPr>
              <w:t>Telefónica</w:t>
            </w:r>
          </w:p>
        </w:tc>
      </w:tr>
      <w:tr w:rsidR="00E02C27">
        <w:tc>
          <w:tcPr>
            <w:tcW w:w="3936"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V down &gt;= V up</w:t>
            </w:r>
          </w:p>
        </w:tc>
        <w:tc>
          <w:tcPr>
            <w:tcW w:w="428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Excepto para QoS RT</w:t>
            </w:r>
          </w:p>
        </w:tc>
      </w:tr>
      <w:tr w:rsidR="00E02C27">
        <w:tc>
          <w:tcPr>
            <w:tcW w:w="393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V max simetricos ORO = 2M</w:t>
            </w:r>
          </w:p>
        </w:tc>
        <w:tc>
          <w:tcPr>
            <w:tcW w:w="4286" w:type="dxa"/>
          </w:tcPr>
          <w:p w:rsidR="00E02C27" w:rsidRDefault="00E02C27">
            <w:pPr>
              <w:pStyle w:val="Textoindependiente"/>
              <w:spacing w:before="60" w:after="60"/>
              <w:ind w:left="0"/>
              <w:rPr>
                <w:rFonts w:ascii="Arial" w:hAnsi="Arial" w:cs="Arial"/>
                <w:sz w:val="20"/>
                <w:lang w:val="es-ES"/>
              </w:rPr>
            </w:pPr>
          </w:p>
        </w:tc>
      </w:tr>
      <w:tr w:rsidR="00E02C27">
        <w:tc>
          <w:tcPr>
            <w:tcW w:w="393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256 Kpbs &lt;= RT &lt;= 2 Mpbs</w:t>
            </w:r>
          </w:p>
        </w:tc>
        <w:tc>
          <w:tcPr>
            <w:tcW w:w="4286"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Valores de 256K, 512K, 1M y 2M</w:t>
            </w:r>
          </w:p>
        </w:tc>
      </w:tr>
    </w:tbl>
    <w:p w:rsidR="00E02C27" w:rsidRDefault="00E02C27">
      <w:pPr>
        <w:pStyle w:val="Textoindependiente"/>
        <w:ind w:left="1418" w:hanging="545"/>
        <w:rPr>
          <w:rFonts w:ascii="Arial" w:hAnsi="Arial" w:cs="Arial"/>
          <w:lang w:val="es-ES"/>
        </w:rPr>
      </w:pPr>
      <w:r>
        <w:rPr>
          <w:rFonts w:ascii="Arial" w:hAnsi="Arial" w:cs="Arial"/>
          <w:lang w:val="es-ES"/>
        </w:rPr>
        <w:br w:type="textWrapping" w:clear="all"/>
      </w:r>
      <w:r>
        <w:rPr>
          <w:rFonts w:ascii="Arial" w:hAnsi="Arial" w:cs="Arial"/>
          <w:lang w:val="es-ES"/>
        </w:rPr>
        <w:tab/>
      </w:r>
    </w:p>
    <w:p w:rsidR="00E02C27" w:rsidRDefault="00E02C27">
      <w:pPr>
        <w:pStyle w:val="Textoindependiente"/>
        <w:ind w:left="1418" w:hanging="545"/>
        <w:rPr>
          <w:rFonts w:ascii="Arial" w:hAnsi="Arial" w:cs="Arial"/>
          <w:i/>
          <w:iCs/>
          <w:u w:val="single"/>
          <w:lang w:val="es-ES"/>
        </w:rPr>
      </w:pPr>
    </w:p>
    <w:p w:rsidR="00E02C27" w:rsidRDefault="00E02C27" w:rsidP="00AF32C8">
      <w:pPr>
        <w:pStyle w:val="EstiloTtulo3"/>
      </w:pPr>
      <w:bookmarkStart w:id="16" w:name="_Toc444784435"/>
      <w:r>
        <w:t>Perfiles comerciales tecnología GPON</w:t>
      </w:r>
      <w:bookmarkEnd w:id="16"/>
    </w:p>
    <w:p w:rsidR="00E02C27" w:rsidRPr="00381430" w:rsidRDefault="00E02C27" w:rsidP="000A447D">
      <w:pPr>
        <w:spacing w:before="60" w:after="60"/>
        <w:ind w:left="720"/>
        <w:rPr>
          <w:rFonts w:ascii="Arial" w:hAnsi="Arial" w:cs="Arial"/>
          <w:sz w:val="24"/>
          <w:szCs w:val="24"/>
        </w:rPr>
      </w:pPr>
      <w:r w:rsidRPr="00381430">
        <w:rPr>
          <w:rFonts w:ascii="Arial" w:hAnsi="Arial" w:cs="Arial"/>
          <w:sz w:val="24"/>
          <w:szCs w:val="24"/>
        </w:rPr>
        <w:t xml:space="preserve">Los criterios específicos de </w:t>
      </w:r>
      <w:r w:rsidR="000A447D">
        <w:rPr>
          <w:rFonts w:ascii="Arial" w:hAnsi="Arial" w:cs="Arial"/>
          <w:sz w:val="24"/>
          <w:szCs w:val="24"/>
        </w:rPr>
        <w:t xml:space="preserve">los </w:t>
      </w:r>
      <w:r w:rsidRPr="00381430">
        <w:rPr>
          <w:rFonts w:ascii="Arial" w:hAnsi="Arial" w:cs="Arial"/>
          <w:sz w:val="24"/>
          <w:szCs w:val="24"/>
        </w:rPr>
        <w:t>perfiles comerciales de GPON se detallan a continuación:</w:t>
      </w:r>
    </w:p>
    <w:p w:rsidR="00E02C27" w:rsidRPr="002B0A89" w:rsidRDefault="00E02C27">
      <w:pPr>
        <w:pStyle w:val="Textoindependiente"/>
        <w:ind w:left="1418" w:hanging="545"/>
        <w:rPr>
          <w:rFonts w:ascii="Arial" w:hAnsi="Arial" w:cs="Arial"/>
          <w:i/>
          <w:iCs/>
          <w:sz w:val="16"/>
          <w:szCs w:val="16"/>
          <w:u w:val="single"/>
          <w:lang w:val="es-ES"/>
        </w:rPr>
      </w:pPr>
    </w:p>
    <w:tbl>
      <w:tblPr>
        <w:tblpPr w:leftFromText="141" w:rightFromText="141" w:vertAnchor="text" w:tblpX="180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003"/>
      </w:tblGrid>
      <w:tr w:rsidR="00E02C27">
        <w:tc>
          <w:tcPr>
            <w:tcW w:w="8222" w:type="dxa"/>
            <w:gridSpan w:val="2"/>
          </w:tcPr>
          <w:p w:rsidR="00E02C27" w:rsidRDefault="00E02C27">
            <w:pPr>
              <w:pStyle w:val="Textoindependiente"/>
              <w:spacing w:before="60" w:after="60"/>
              <w:ind w:left="0"/>
              <w:jc w:val="center"/>
              <w:rPr>
                <w:rFonts w:ascii="Arial" w:hAnsi="Arial" w:cs="Arial"/>
                <w:b/>
                <w:sz w:val="20"/>
                <w:lang w:val="es-ES"/>
              </w:rPr>
            </w:pPr>
            <w:r>
              <w:rPr>
                <w:rFonts w:ascii="Arial" w:hAnsi="Arial" w:cs="Arial"/>
                <w:b/>
                <w:sz w:val="20"/>
                <w:lang w:val="es-ES"/>
              </w:rPr>
              <w:t>Tecnología GPON</w:t>
            </w:r>
          </w:p>
        </w:tc>
      </w:tr>
      <w:tr w:rsidR="00E02C27">
        <w:tc>
          <w:tcPr>
            <w:tcW w:w="4219" w:type="dxa"/>
          </w:tcPr>
          <w:p w:rsidR="00E02C27" w:rsidRDefault="00E02C27">
            <w:pPr>
              <w:pStyle w:val="Textoindependiente"/>
              <w:spacing w:before="60" w:after="60"/>
              <w:ind w:left="0"/>
              <w:jc w:val="center"/>
              <w:rPr>
                <w:rFonts w:ascii="Arial" w:hAnsi="Arial" w:cs="Arial"/>
                <w:i/>
                <w:sz w:val="20"/>
                <w:lang w:val="es-ES"/>
              </w:rPr>
            </w:pPr>
            <w:r>
              <w:rPr>
                <w:rFonts w:ascii="Arial" w:hAnsi="Arial" w:cs="Arial"/>
                <w:i/>
                <w:sz w:val="20"/>
                <w:lang w:val="es-ES"/>
              </w:rPr>
              <w:t>Criterio</w:t>
            </w:r>
          </w:p>
        </w:tc>
        <w:tc>
          <w:tcPr>
            <w:tcW w:w="4003" w:type="dxa"/>
          </w:tcPr>
          <w:p w:rsidR="00E02C27" w:rsidRDefault="00E02C27">
            <w:pPr>
              <w:pStyle w:val="Textoindependiente"/>
              <w:spacing w:before="60" w:after="60"/>
              <w:ind w:left="0"/>
              <w:jc w:val="center"/>
              <w:rPr>
                <w:rFonts w:ascii="Arial" w:hAnsi="Arial" w:cs="Arial"/>
                <w:i/>
                <w:sz w:val="20"/>
                <w:lang w:val="es-ES"/>
              </w:rPr>
            </w:pPr>
            <w:r>
              <w:rPr>
                <w:rFonts w:ascii="Arial" w:hAnsi="Arial" w:cs="Arial"/>
                <w:i/>
                <w:sz w:val="20"/>
                <w:lang w:val="es-ES"/>
              </w:rPr>
              <w:t>Descripción</w:t>
            </w:r>
          </w:p>
        </w:tc>
      </w:tr>
      <w:tr w:rsidR="00E02C27">
        <w:tc>
          <w:tcPr>
            <w:tcW w:w="4219"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 xml:space="preserve">∑ V total down &lt;= 30 Mbps </w:t>
            </w:r>
            <w:r>
              <w:rPr>
                <w:rFonts w:ascii="Arial" w:hAnsi="Arial" w:cs="Arial"/>
                <w:sz w:val="20"/>
                <w:lang w:val="es-ES"/>
              </w:rPr>
              <w:tab/>
            </w:r>
          </w:p>
        </w:tc>
        <w:tc>
          <w:tcPr>
            <w:tcW w:w="4003"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Según Análisis de Mercado 5.</w:t>
            </w:r>
          </w:p>
        </w:tc>
      </w:tr>
      <w:tr w:rsidR="00E02C27">
        <w:tc>
          <w:tcPr>
            <w:tcW w:w="4219"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V min Down</w:t>
            </w:r>
            <w:r w:rsidR="00E836BE">
              <w:rPr>
                <w:rFonts w:ascii="Arial" w:hAnsi="Arial" w:cs="Arial"/>
                <w:sz w:val="20"/>
                <w:lang w:val="en-GB"/>
              </w:rPr>
              <w:t xml:space="preserve"> </w:t>
            </w:r>
            <w:r>
              <w:rPr>
                <w:rFonts w:ascii="Arial" w:hAnsi="Arial" w:cs="Arial"/>
                <w:sz w:val="20"/>
                <w:lang w:val="en-GB"/>
              </w:rPr>
              <w:t xml:space="preserve">= </w:t>
            </w:r>
            <w:smartTag w:uri="urn:schemas-microsoft-com:office:smarttags" w:element="metricconverter">
              <w:smartTagPr>
                <w:attr w:name="ProductID" w:val="10 M"/>
              </w:smartTagPr>
              <w:r>
                <w:rPr>
                  <w:rFonts w:ascii="Arial" w:hAnsi="Arial" w:cs="Arial"/>
                  <w:sz w:val="20"/>
                  <w:lang w:val="en-GB"/>
                </w:rPr>
                <w:t>10 M</w:t>
              </w:r>
            </w:smartTag>
            <w:r>
              <w:rPr>
                <w:rFonts w:ascii="Arial" w:hAnsi="Arial" w:cs="Arial"/>
                <w:sz w:val="20"/>
                <w:lang w:val="en-GB"/>
              </w:rPr>
              <w:t xml:space="preserve"> ; V min Up </w:t>
            </w:r>
            <w:r w:rsidR="00E836BE">
              <w:rPr>
                <w:rFonts w:ascii="Arial" w:hAnsi="Arial" w:cs="Arial"/>
                <w:sz w:val="20"/>
                <w:lang w:val="en-GB"/>
              </w:rPr>
              <w:t xml:space="preserve">= </w:t>
            </w:r>
            <w:smartTag w:uri="urn:schemas-microsoft-com:office:smarttags" w:element="metricconverter">
              <w:smartTagPr>
                <w:attr w:name="ProductID" w:val="1 M"/>
              </w:smartTagPr>
              <w:r>
                <w:rPr>
                  <w:rFonts w:ascii="Arial" w:hAnsi="Arial" w:cs="Arial"/>
                  <w:sz w:val="20"/>
                  <w:lang w:val="en-GB"/>
                </w:rPr>
                <w:t>1 M</w:t>
              </w:r>
            </w:smartTag>
            <w:r>
              <w:rPr>
                <w:rFonts w:ascii="Arial" w:hAnsi="Arial" w:cs="Arial"/>
                <w:sz w:val="20"/>
                <w:lang w:val="en-GB"/>
              </w:rPr>
              <w:t xml:space="preserve"> </w:t>
            </w:r>
          </w:p>
        </w:tc>
        <w:tc>
          <w:tcPr>
            <w:tcW w:w="4003"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BE y ORO</w:t>
            </w:r>
          </w:p>
        </w:tc>
      </w:tr>
      <w:tr w:rsidR="00E02C27">
        <w:tc>
          <w:tcPr>
            <w:tcW w:w="4219" w:type="dxa"/>
          </w:tcPr>
          <w:p w:rsidR="00E02C27" w:rsidRDefault="00E02C27">
            <w:pPr>
              <w:pStyle w:val="Textoindependiente"/>
              <w:spacing w:before="60" w:after="60"/>
              <w:ind w:left="0"/>
              <w:rPr>
                <w:rFonts w:ascii="Arial" w:hAnsi="Arial" w:cs="Arial"/>
                <w:sz w:val="20"/>
                <w:lang w:val="en-GB"/>
              </w:rPr>
            </w:pPr>
          </w:p>
        </w:tc>
        <w:tc>
          <w:tcPr>
            <w:tcW w:w="4003" w:type="dxa"/>
          </w:tcPr>
          <w:p w:rsidR="00E02C27" w:rsidRDefault="00E02C27">
            <w:pPr>
              <w:pStyle w:val="Textoindependiente"/>
              <w:spacing w:before="60" w:after="60"/>
              <w:ind w:left="0"/>
              <w:rPr>
                <w:rFonts w:ascii="Arial" w:hAnsi="Arial" w:cs="Arial"/>
                <w:sz w:val="20"/>
                <w:lang w:val="es-ES"/>
              </w:rPr>
            </w:pPr>
          </w:p>
        </w:tc>
      </w:tr>
      <w:tr w:rsidR="00E02C27">
        <w:tc>
          <w:tcPr>
            <w:tcW w:w="4219"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V down &gt;= V up</w:t>
            </w:r>
          </w:p>
        </w:tc>
        <w:tc>
          <w:tcPr>
            <w:tcW w:w="4003"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Excepto para QoS RT</w:t>
            </w:r>
          </w:p>
        </w:tc>
      </w:tr>
      <w:tr w:rsidR="00E02C27">
        <w:tc>
          <w:tcPr>
            <w:tcW w:w="4219"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V max simetricos ORO = 2M</w:t>
            </w:r>
          </w:p>
        </w:tc>
        <w:tc>
          <w:tcPr>
            <w:tcW w:w="4003" w:type="dxa"/>
          </w:tcPr>
          <w:p w:rsidR="00E02C27" w:rsidRDefault="00E02C27">
            <w:pPr>
              <w:pStyle w:val="Textoindependiente"/>
              <w:spacing w:before="60" w:after="60"/>
              <w:ind w:left="0"/>
              <w:rPr>
                <w:rFonts w:ascii="Arial" w:hAnsi="Arial" w:cs="Arial"/>
                <w:sz w:val="20"/>
                <w:lang w:val="es-ES"/>
              </w:rPr>
            </w:pPr>
          </w:p>
        </w:tc>
      </w:tr>
      <w:tr w:rsidR="00E02C27">
        <w:tc>
          <w:tcPr>
            <w:tcW w:w="4219"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Vup BE &gt;= Vup ORO</w:t>
            </w:r>
            <w:r>
              <w:rPr>
                <w:rFonts w:ascii="Arial" w:hAnsi="Arial" w:cs="Arial"/>
                <w:sz w:val="20"/>
                <w:lang w:val="en-GB"/>
              </w:rPr>
              <w:tab/>
            </w:r>
          </w:p>
        </w:tc>
        <w:tc>
          <w:tcPr>
            <w:tcW w:w="4003" w:type="dxa"/>
          </w:tcPr>
          <w:p w:rsidR="00E02C27" w:rsidRDefault="00E02C27">
            <w:pPr>
              <w:pStyle w:val="Textoindependiente"/>
              <w:spacing w:before="60" w:after="60"/>
              <w:ind w:left="0"/>
              <w:rPr>
                <w:rFonts w:ascii="Arial" w:hAnsi="Arial" w:cs="Arial"/>
                <w:sz w:val="20"/>
                <w:lang w:val="en-GB"/>
              </w:rPr>
            </w:pPr>
          </w:p>
        </w:tc>
      </w:tr>
      <w:tr w:rsidR="00E02C27">
        <w:tc>
          <w:tcPr>
            <w:tcW w:w="4219" w:type="dxa"/>
          </w:tcPr>
          <w:p w:rsidR="00E02C27" w:rsidRDefault="00E02C27">
            <w:pPr>
              <w:pStyle w:val="Textoindependiente"/>
              <w:spacing w:before="60" w:after="60"/>
              <w:ind w:left="0"/>
              <w:rPr>
                <w:rFonts w:ascii="Arial" w:hAnsi="Arial" w:cs="Arial"/>
                <w:sz w:val="20"/>
                <w:lang w:val="en-GB"/>
              </w:rPr>
            </w:pPr>
            <w:r>
              <w:rPr>
                <w:rFonts w:ascii="Arial" w:hAnsi="Arial" w:cs="Arial"/>
                <w:sz w:val="20"/>
                <w:lang w:val="en-GB"/>
              </w:rPr>
              <w:t>256 Kpbs &lt;= RT &lt;= 2 Mpbs</w:t>
            </w:r>
          </w:p>
        </w:tc>
        <w:tc>
          <w:tcPr>
            <w:tcW w:w="4003" w:type="dxa"/>
          </w:tcPr>
          <w:p w:rsidR="00E02C27" w:rsidRDefault="00E02C27">
            <w:pPr>
              <w:pStyle w:val="Textoindependiente"/>
              <w:spacing w:before="60" w:after="60"/>
              <w:ind w:left="0"/>
              <w:rPr>
                <w:rFonts w:ascii="Arial" w:hAnsi="Arial" w:cs="Arial"/>
                <w:sz w:val="20"/>
                <w:lang w:val="es-ES"/>
              </w:rPr>
            </w:pPr>
            <w:r>
              <w:rPr>
                <w:rFonts w:ascii="Arial" w:hAnsi="Arial" w:cs="Arial"/>
                <w:sz w:val="20"/>
                <w:lang w:val="es-ES"/>
              </w:rPr>
              <w:t>Valores de 256K, 512K, 1M y 2M</w:t>
            </w:r>
          </w:p>
        </w:tc>
      </w:tr>
    </w:tbl>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Default="00E02C27">
      <w:pPr>
        <w:pStyle w:val="Textoindependiente"/>
        <w:ind w:left="1418" w:hanging="545"/>
        <w:rPr>
          <w:rFonts w:ascii="Arial" w:hAnsi="Arial" w:cs="Arial"/>
          <w:i/>
          <w:iCs/>
          <w:u w:val="single"/>
          <w:lang w:val="es-ES"/>
        </w:rPr>
      </w:pPr>
    </w:p>
    <w:p w:rsidR="00E02C27" w:rsidRPr="002B0A89" w:rsidRDefault="00E02C27">
      <w:pPr>
        <w:pStyle w:val="Textoindependiente"/>
        <w:ind w:left="1418" w:hanging="545"/>
        <w:rPr>
          <w:rFonts w:ascii="Arial" w:hAnsi="Arial" w:cs="Arial"/>
          <w:i/>
          <w:iCs/>
          <w:sz w:val="16"/>
          <w:szCs w:val="16"/>
          <w:u w:val="single"/>
          <w:lang w:val="es-ES"/>
        </w:rPr>
      </w:pPr>
    </w:p>
    <w:p w:rsidR="00E02C27" w:rsidRDefault="00E02C27">
      <w:pPr>
        <w:spacing w:before="60" w:after="60"/>
        <w:ind w:left="720"/>
        <w:rPr>
          <w:rFonts w:ascii="Arial" w:hAnsi="Arial" w:cs="Arial"/>
          <w:sz w:val="24"/>
          <w:szCs w:val="24"/>
        </w:rPr>
      </w:pPr>
      <w:r>
        <w:rPr>
          <w:rFonts w:ascii="Arial" w:hAnsi="Arial" w:cs="Arial"/>
          <w:sz w:val="24"/>
          <w:szCs w:val="24"/>
        </w:rPr>
        <w:t>En GPON el acceso no impone condiciones de validación.</w:t>
      </w:r>
    </w:p>
    <w:p w:rsidR="00E02C27" w:rsidRPr="002B0A89" w:rsidRDefault="00E02C27">
      <w:pPr>
        <w:pStyle w:val="Textoindependiente"/>
        <w:ind w:left="1418" w:hanging="545"/>
        <w:rPr>
          <w:rFonts w:ascii="Arial" w:hAnsi="Arial" w:cs="Arial"/>
          <w:i/>
          <w:iCs/>
          <w:sz w:val="20"/>
          <w:u w:val="single"/>
          <w:lang w:val="es-ES"/>
        </w:rPr>
      </w:pPr>
    </w:p>
    <w:p w:rsidR="00E02C27" w:rsidRPr="00B906ED" w:rsidRDefault="00E02C27">
      <w:pPr>
        <w:rPr>
          <w:rFonts w:ascii="Arial" w:hAnsi="Arial" w:cs="Arial"/>
          <w:sz w:val="16"/>
          <w:szCs w:val="16"/>
        </w:rPr>
      </w:pPr>
    </w:p>
    <w:p w:rsidR="00E02C27" w:rsidRDefault="0059748B" w:rsidP="00AF32C8">
      <w:pPr>
        <w:pStyle w:val="EstiloTtulo3"/>
      </w:pPr>
      <w:bookmarkStart w:id="17" w:name="_Toc444784436"/>
      <w:r>
        <w:t>C</w:t>
      </w:r>
      <w:r w:rsidR="00E02C27">
        <w:t>reación de nuevos perfiles/servicios NEBA</w:t>
      </w:r>
      <w:bookmarkEnd w:id="17"/>
    </w:p>
    <w:p w:rsidR="00E02C27" w:rsidRDefault="00E02C27" w:rsidP="00350EC2">
      <w:pPr>
        <w:pStyle w:val="Textoindependiente"/>
        <w:spacing w:before="240" w:after="60"/>
        <w:ind w:left="709"/>
        <w:rPr>
          <w:rFonts w:ascii="Arial" w:hAnsi="Arial" w:cs="Arial"/>
          <w:lang w:val="es-ES"/>
        </w:rPr>
      </w:pPr>
      <w:r>
        <w:rPr>
          <w:rFonts w:ascii="Arial" w:hAnsi="Arial" w:cs="Arial"/>
          <w:lang w:val="es-ES"/>
        </w:rPr>
        <w:t xml:space="preserve">Con el objetivo de mantener actualizada la oferta de perfiles comerciales/servicios en función de las necesidades del mercado, </w:t>
      </w:r>
      <w:r w:rsidR="00350EC2">
        <w:rPr>
          <w:rFonts w:ascii="Arial" w:hAnsi="Arial" w:cs="Arial"/>
          <w:lang w:val="es-ES"/>
        </w:rPr>
        <w:t>se establece un mecanismo</w:t>
      </w:r>
      <w:r>
        <w:rPr>
          <w:rFonts w:ascii="Arial" w:hAnsi="Arial" w:cs="Arial"/>
          <w:lang w:val="es-ES"/>
        </w:rPr>
        <w:t xml:space="preserve"> </w:t>
      </w:r>
      <w:r w:rsidR="00350EC2">
        <w:rPr>
          <w:rFonts w:ascii="Arial" w:hAnsi="Arial" w:cs="Arial"/>
          <w:lang w:val="es-ES"/>
        </w:rPr>
        <w:t>de</w:t>
      </w:r>
      <w:r>
        <w:rPr>
          <w:rFonts w:ascii="Arial" w:hAnsi="Arial" w:cs="Arial"/>
          <w:lang w:val="es-ES"/>
        </w:rPr>
        <w:t xml:space="preserve"> revisión y actualización de dicha oferta. </w:t>
      </w:r>
    </w:p>
    <w:p w:rsidR="00E53E00" w:rsidRDefault="00E53E00" w:rsidP="00350EC2">
      <w:pPr>
        <w:pStyle w:val="Textoindependiente"/>
        <w:spacing w:before="240" w:after="60"/>
        <w:ind w:left="709"/>
        <w:rPr>
          <w:rFonts w:ascii="Arial" w:hAnsi="Arial" w:cs="Arial"/>
          <w:lang w:val="es-ES"/>
        </w:rPr>
      </w:pPr>
      <w:r>
        <w:rPr>
          <w:rFonts w:ascii="Arial" w:hAnsi="Arial" w:cs="Arial"/>
          <w:lang w:val="es-ES"/>
        </w:rPr>
        <w:t>El procedimiento de creación de nuevos perfiles está disponible en el Anexo I (procedimientos del servicio).</w:t>
      </w:r>
    </w:p>
    <w:p w:rsidR="00E02C27" w:rsidRDefault="00E02C27">
      <w:pPr>
        <w:pStyle w:val="Textoindependiente"/>
        <w:spacing w:before="120"/>
      </w:pPr>
    </w:p>
    <w:p w:rsidR="00E02C27" w:rsidRDefault="00E02C27" w:rsidP="004A2904">
      <w:pPr>
        <w:pStyle w:val="Textoindependiente"/>
        <w:spacing w:before="60" w:after="60"/>
        <w:ind w:left="709"/>
        <w:rPr>
          <w:rFonts w:ascii="Arial" w:hAnsi="Arial" w:cs="Arial"/>
          <w:lang w:val="es-ES"/>
        </w:rPr>
      </w:pPr>
      <w:r>
        <w:rPr>
          <w:rFonts w:ascii="Arial" w:hAnsi="Arial" w:cs="Arial"/>
          <w:lang w:val="es-ES"/>
        </w:rPr>
        <w:t xml:space="preserve">Adicionalmente a los perfiles solicitados por los operadores, </w:t>
      </w:r>
      <w:r w:rsidR="009D686F">
        <w:rPr>
          <w:rFonts w:ascii="Arial" w:hAnsi="Arial" w:cs="Arial"/>
          <w:lang w:val="es-ES"/>
        </w:rPr>
        <w:t>Telefónica</w:t>
      </w:r>
      <w:r>
        <w:rPr>
          <w:rFonts w:ascii="Arial" w:hAnsi="Arial" w:cs="Arial"/>
          <w:lang w:val="es-ES"/>
        </w:rPr>
        <w:t xml:space="preserve"> implementará los perfiles que resulten necesarios para dar replicabilidad a las nuevas modalidades minoristas que prevea lanzar al mercado y que, en todo caso, se comunicarán de conformidad con los procedimientos regulatorios vigentes. </w:t>
      </w:r>
      <w:r w:rsidR="004A2904">
        <w:rPr>
          <w:rFonts w:ascii="Arial" w:hAnsi="Arial" w:cs="Arial"/>
          <w:lang w:val="es-ES"/>
        </w:rPr>
        <w:t>La caracterización de la planta se actualizará para incluir dichos perfiles.</w:t>
      </w:r>
    </w:p>
    <w:p w:rsidR="00BA7E2E" w:rsidRDefault="00BA7E2E" w:rsidP="004A2904">
      <w:pPr>
        <w:pStyle w:val="Textoindependiente"/>
        <w:spacing w:before="60" w:after="60"/>
        <w:ind w:left="709"/>
        <w:rPr>
          <w:rFonts w:ascii="Arial" w:hAnsi="Arial" w:cs="Arial"/>
          <w:lang w:val="es-ES"/>
        </w:rPr>
      </w:pPr>
    </w:p>
    <w:p w:rsidR="00BA7E2E" w:rsidRDefault="00BA7E2E" w:rsidP="004A2904">
      <w:pPr>
        <w:pStyle w:val="Textoindependiente"/>
        <w:spacing w:before="60" w:after="60"/>
        <w:ind w:left="709"/>
        <w:rPr>
          <w:rFonts w:ascii="Arial" w:hAnsi="Arial" w:cs="Arial"/>
          <w:lang w:val="es-ES"/>
        </w:rPr>
      </w:pPr>
      <w:r>
        <w:rPr>
          <w:rFonts w:ascii="Arial" w:hAnsi="Arial" w:cs="Arial"/>
          <w:lang w:val="es-ES"/>
        </w:rPr>
        <w:t xml:space="preserve">En cumplimiento del análisis de mercados de banda ancha de 2016, se incluirán en la oferta los perfiles </w:t>
      </w:r>
      <w:r w:rsidR="003D03BA" w:rsidRPr="003D03BA">
        <w:rPr>
          <w:rFonts w:ascii="Arial" w:hAnsi="Arial" w:cs="Arial"/>
          <w:lang w:val="es-ES"/>
        </w:rPr>
        <w:t xml:space="preserve">que sean necesarios para replicar </w:t>
      </w:r>
      <w:r w:rsidR="003D03BA">
        <w:rPr>
          <w:rFonts w:ascii="Arial" w:hAnsi="Arial" w:cs="Arial"/>
          <w:lang w:val="es-ES"/>
        </w:rPr>
        <w:t>las</w:t>
      </w:r>
      <w:r w:rsidR="003D03BA" w:rsidRPr="003D03BA">
        <w:rPr>
          <w:rFonts w:ascii="Arial" w:hAnsi="Arial" w:cs="Arial"/>
          <w:lang w:val="es-ES"/>
        </w:rPr>
        <w:t xml:space="preserve"> ofertas minoristas</w:t>
      </w:r>
      <w:r w:rsidR="003D03BA">
        <w:rPr>
          <w:rFonts w:ascii="Arial" w:hAnsi="Arial" w:cs="Arial"/>
          <w:lang w:val="es-ES"/>
        </w:rPr>
        <w:t xml:space="preserve"> de Telefónica</w:t>
      </w:r>
      <w:r w:rsidR="003D03BA" w:rsidRPr="003D03BA">
        <w:rPr>
          <w:rFonts w:ascii="Arial" w:hAnsi="Arial" w:cs="Arial"/>
          <w:lang w:val="es-ES"/>
        </w:rPr>
        <w:t>, no siendo ya de aplicación el límite de 30 Mb/s</w:t>
      </w:r>
      <w:r w:rsidR="003D03BA">
        <w:rPr>
          <w:rFonts w:ascii="Arial" w:hAnsi="Arial" w:cs="Arial"/>
          <w:lang w:val="es-ES"/>
        </w:rPr>
        <w:t>.</w:t>
      </w:r>
    </w:p>
    <w:p w:rsidR="00E02C27" w:rsidRDefault="00E02C27">
      <w:pPr>
        <w:pStyle w:val="Textoindependiente"/>
        <w:spacing w:before="60" w:after="60"/>
        <w:ind w:left="709"/>
        <w:rPr>
          <w:rFonts w:ascii="Arial" w:hAnsi="Arial" w:cs="Arial"/>
          <w:lang w:val="es-ES"/>
        </w:rPr>
      </w:pPr>
    </w:p>
    <w:p w:rsidR="00E02C27" w:rsidRDefault="00E02C27" w:rsidP="006B5381">
      <w:pPr>
        <w:pStyle w:val="EstiloTitulo2"/>
      </w:pPr>
      <w:bookmarkStart w:id="18" w:name="_Toc444784437"/>
      <w:r>
        <w:t>Mecanismos de control</w:t>
      </w:r>
      <w:bookmarkEnd w:id="18"/>
    </w:p>
    <w:p w:rsidR="00E02C27" w:rsidRDefault="00E02C27" w:rsidP="00AF32C8">
      <w:pPr>
        <w:pStyle w:val="EstiloTtulo3"/>
      </w:pPr>
      <w:bookmarkStart w:id="19" w:name="_Toc444784438"/>
      <w:r>
        <w:t>Policy  (sentido ascendente)</w:t>
      </w:r>
      <w:bookmarkEnd w:id="19"/>
    </w:p>
    <w:p w:rsidR="00E02C27" w:rsidRDefault="00E02C27">
      <w:pPr>
        <w:pStyle w:val="Textoindependiente"/>
        <w:spacing w:before="60" w:after="60"/>
        <w:ind w:left="709"/>
        <w:rPr>
          <w:rFonts w:ascii="Arial" w:hAnsi="Arial" w:cs="Arial"/>
          <w:lang w:val="es-ES"/>
        </w:rPr>
      </w:pPr>
      <w:r>
        <w:rPr>
          <w:rFonts w:ascii="Arial" w:hAnsi="Arial" w:cs="Arial"/>
          <w:lang w:val="es-ES"/>
        </w:rPr>
        <w:t>En el nodo de acceso (DSLAM/OLT) se realizará control del tráfico cursado mediante “</w:t>
      </w:r>
      <w:r>
        <w:rPr>
          <w:rFonts w:ascii="Arial" w:hAnsi="Arial" w:cs="Arial"/>
          <w:i/>
          <w:lang w:val="es-ES"/>
        </w:rPr>
        <w:t>rate limit</w:t>
      </w:r>
      <w:r>
        <w:rPr>
          <w:rFonts w:ascii="Arial" w:hAnsi="Arial" w:cs="Arial"/>
          <w:lang w:val="es-ES"/>
        </w:rPr>
        <w:t xml:space="preserve">” por conexión y tipo de calidad. Como se indicó en el apartado 0.5, </w:t>
      </w:r>
      <w:r w:rsidR="009D5187">
        <w:rPr>
          <w:rFonts w:ascii="Arial" w:hAnsi="Arial" w:cs="Arial"/>
          <w:lang w:val="es-ES"/>
        </w:rPr>
        <w:t xml:space="preserve">en accesos ADSL2+ </w:t>
      </w:r>
      <w:r>
        <w:rPr>
          <w:rFonts w:ascii="Arial" w:hAnsi="Arial" w:cs="Arial"/>
          <w:lang w:val="es-ES"/>
        </w:rPr>
        <w:t>el tráfico BE se podrá ajustar a la velocidad de sincronización de la línea</w:t>
      </w:r>
      <w:r>
        <w:rPr>
          <w:rFonts w:ascii="Arial" w:hAnsi="Arial" w:cs="Arial"/>
          <w:vertAlign w:val="superscript"/>
          <w:lang w:val="es-ES"/>
        </w:rPr>
        <w:footnoteReference w:id="5"/>
      </w:r>
      <w:r>
        <w:rPr>
          <w:rFonts w:ascii="Arial" w:hAnsi="Arial" w:cs="Arial"/>
          <w:lang w:val="es-ES"/>
        </w:rPr>
        <w:t xml:space="preserve"> y ocupar así todo el ancho de banda de la línea salvo que existan tráficos de calidades superiores. En ese caso, el tráfico BE reducirá su caudal todo lo que demanden los tráficos ORO y RT, que podrán alcanzar el valor máximo contratado para los mismos.</w:t>
      </w:r>
    </w:p>
    <w:p w:rsidR="00E02C27" w:rsidRDefault="00E02C27" w:rsidP="00AF32C8">
      <w:pPr>
        <w:pStyle w:val="EstiloTtulo3"/>
      </w:pPr>
      <w:bookmarkStart w:id="20" w:name="_Toc444784439"/>
      <w:r>
        <w:t>Priorización (sentido descendente)</w:t>
      </w:r>
      <w:bookmarkEnd w:id="20"/>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Se realizará un control del tráfico en el DSLAM/OLT teniendo en cuenta la prioridad aplicable a las QoS contratadas por el operador en cada conexión, de acuerdo con el criterio general aplicable: </w:t>
      </w:r>
    </w:p>
    <w:p w:rsidR="00E02C27" w:rsidRDefault="00E02C27">
      <w:pPr>
        <w:pStyle w:val="Textoindependiente"/>
        <w:numPr>
          <w:ilvl w:val="0"/>
          <w:numId w:val="45"/>
        </w:numPr>
        <w:tabs>
          <w:tab w:val="num" w:pos="2736"/>
        </w:tabs>
        <w:spacing w:before="60" w:after="60"/>
        <w:rPr>
          <w:rFonts w:ascii="Arial" w:hAnsi="Arial" w:cs="Arial"/>
          <w:szCs w:val="24"/>
          <w:lang w:val="es-ES"/>
        </w:rPr>
      </w:pPr>
      <w:r>
        <w:rPr>
          <w:rFonts w:ascii="Arial" w:hAnsi="Arial" w:cs="Arial"/>
          <w:szCs w:val="24"/>
          <w:lang w:val="es-ES"/>
        </w:rPr>
        <w:t>Real Time (el más prioritario)</w:t>
      </w:r>
    </w:p>
    <w:p w:rsidR="00E02C27" w:rsidRDefault="00E02C27">
      <w:pPr>
        <w:pStyle w:val="Textoindependiente"/>
        <w:numPr>
          <w:ilvl w:val="0"/>
          <w:numId w:val="45"/>
        </w:numPr>
        <w:tabs>
          <w:tab w:val="num" w:pos="2736"/>
        </w:tabs>
        <w:spacing w:before="60" w:after="60"/>
        <w:rPr>
          <w:rFonts w:ascii="Arial" w:hAnsi="Arial" w:cs="Arial"/>
          <w:szCs w:val="24"/>
          <w:lang w:val="es-ES"/>
        </w:rPr>
      </w:pPr>
      <w:r>
        <w:rPr>
          <w:rFonts w:ascii="Arial" w:hAnsi="Arial" w:cs="Arial"/>
          <w:szCs w:val="24"/>
          <w:lang w:val="es-ES"/>
        </w:rPr>
        <w:t>Oro (menos prioritario de RT, pero más que BE)</w:t>
      </w:r>
    </w:p>
    <w:p w:rsidR="00E02C27" w:rsidRDefault="00E02C27">
      <w:pPr>
        <w:numPr>
          <w:ilvl w:val="0"/>
          <w:numId w:val="45"/>
        </w:numPr>
        <w:tabs>
          <w:tab w:val="num" w:pos="2736"/>
        </w:tabs>
        <w:spacing w:before="60" w:after="60"/>
        <w:rPr>
          <w:rFonts w:ascii="Arial" w:hAnsi="Arial" w:cs="Arial"/>
          <w:sz w:val="24"/>
          <w:szCs w:val="24"/>
        </w:rPr>
      </w:pPr>
      <w:r>
        <w:rPr>
          <w:rFonts w:ascii="Arial" w:hAnsi="Arial" w:cs="Arial"/>
          <w:sz w:val="24"/>
          <w:szCs w:val="24"/>
        </w:rPr>
        <w:t>Best Effort (el menos prioritario)</w:t>
      </w:r>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En caso de congestión, el tráfico se prioriza según el orden anterior aplicando técnicas de marcado y priorización. Se emplean colas de tráfico independientes para cada QoS. </w:t>
      </w:r>
    </w:p>
    <w:p w:rsidR="00E02C27" w:rsidRDefault="00E02C27" w:rsidP="00AF32C8">
      <w:pPr>
        <w:pStyle w:val="EstiloTtulo3"/>
      </w:pPr>
      <w:bookmarkStart w:id="21" w:name="_Toc444784440"/>
      <w:r>
        <w:t>Identificación de cliente en Red: QinQ</w:t>
      </w:r>
      <w:bookmarkEnd w:id="21"/>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Para la identificación de usuarios en la red se utilizará el encapsulado 802.1ad </w:t>
      </w:r>
      <w:r w:rsidR="00A63429">
        <w:rPr>
          <w:rFonts w:ascii="Arial" w:hAnsi="Arial" w:cs="Arial"/>
          <w:lang w:val="es-ES"/>
        </w:rPr>
        <w:t xml:space="preserve">o </w:t>
      </w:r>
      <w:r>
        <w:rPr>
          <w:rFonts w:ascii="Arial" w:hAnsi="Arial" w:cs="Arial"/>
          <w:lang w:val="es-ES"/>
        </w:rPr>
        <w:t>QinQ. Para ello, se inserta un Tag adicional (S-Tag) en el borde de la red del Operador de forma que la VLAN original del cliente (C-Tag) permanece sin cambios.</w:t>
      </w:r>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El encapsulado QinQ permite mediante un segundo nivel de VLAN (VLAN Stacking), crear una estructura jerárquica que permite conectar a los usuarios a la red del Operador a través de la red de acceso de </w:t>
      </w:r>
      <w:r w:rsidR="009D686F">
        <w:rPr>
          <w:rFonts w:ascii="Arial" w:hAnsi="Arial" w:cs="Arial"/>
          <w:lang w:val="es-ES"/>
        </w:rPr>
        <w:t>Telefónica</w:t>
      </w:r>
      <w:r>
        <w:rPr>
          <w:rFonts w:ascii="Arial" w:hAnsi="Arial" w:cs="Arial"/>
          <w:lang w:val="es-ES"/>
        </w:rPr>
        <w:t xml:space="preserve"> sin modificar su VLAN original.</w:t>
      </w:r>
    </w:p>
    <w:p w:rsidR="00E02C27" w:rsidRDefault="00E02C27">
      <w:pPr>
        <w:pStyle w:val="Textoindependiente"/>
        <w:spacing w:before="60" w:after="60"/>
        <w:ind w:left="709"/>
        <w:rPr>
          <w:rFonts w:ascii="Arial" w:hAnsi="Arial" w:cs="Arial"/>
          <w:lang w:val="es-ES"/>
        </w:rPr>
      </w:pPr>
      <w:r>
        <w:rPr>
          <w:rFonts w:ascii="Arial" w:hAnsi="Arial" w:cs="Arial"/>
          <w:lang w:val="es-ES"/>
        </w:rPr>
        <w:t>El QinQ se considera una mejora añadida del protocolo IEEE 802.1Q, y la estructura de la nueva trama incluye un nuevo campo para el Tag de identificación. De esta manera el tráfico en la misma red lógica (VLAN de usuario) mantiene siempre este campo invariante durante la conexión. En la figura siguiente se muestra la trama 802.1ad construida a partir de la trama original 802.1Q generada por el usuario:</w:t>
      </w:r>
    </w:p>
    <w:p w:rsidR="00E02C27" w:rsidRDefault="00E02C27">
      <w:pPr>
        <w:pStyle w:val="Textoindependiente"/>
        <w:spacing w:before="60" w:after="60"/>
        <w:ind w:left="709"/>
        <w:rPr>
          <w:rFonts w:ascii="Arial" w:hAnsi="Arial" w:cs="Arial"/>
          <w:lang w:val="es-ES"/>
        </w:rPr>
      </w:pPr>
    </w:p>
    <w:p w:rsidR="00E02C27" w:rsidRDefault="00E02C27">
      <w:pPr>
        <w:pStyle w:val="Textoindependiente"/>
        <w:rPr>
          <w:rFonts w:ascii="Arial" w:hAnsi="Arial" w:cs="Arial"/>
          <w:lang w:val="es-ES"/>
        </w:rPr>
      </w:pPr>
    </w:p>
    <w:p w:rsidR="00E02C27" w:rsidRDefault="00E5554F">
      <w:pPr>
        <w:pStyle w:val="Textoindependiente"/>
        <w:ind w:left="1418" w:hanging="545"/>
        <w:rPr>
          <w:rFonts w:ascii="Arial" w:hAnsi="Arial" w:cs="Arial"/>
          <w:lang w:val="es-ES"/>
        </w:rPr>
      </w:pPr>
      <w:r>
        <w:rPr>
          <w:rFonts w:ascii="Arial" w:hAnsi="Arial" w:cs="Arial"/>
          <w:noProof/>
          <w:lang w:val="es-ES"/>
        </w:rPr>
        <w:drawing>
          <wp:inline distT="0" distB="0" distL="0" distR="0" wp14:anchorId="47092B69" wp14:editId="45D32EC4">
            <wp:extent cx="5608320" cy="166116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320" cy="1661160"/>
                    </a:xfrm>
                    <a:prstGeom prst="rect">
                      <a:avLst/>
                    </a:prstGeom>
                    <a:noFill/>
                    <a:ln>
                      <a:noFill/>
                    </a:ln>
                  </pic:spPr>
                </pic:pic>
              </a:graphicData>
            </a:graphic>
          </wp:inline>
        </w:drawing>
      </w:r>
    </w:p>
    <w:p w:rsidR="00E02C27" w:rsidRDefault="00E02C27">
      <w:pPr>
        <w:pStyle w:val="Textoindependiente"/>
        <w:spacing w:before="60" w:after="60"/>
        <w:ind w:left="709"/>
        <w:rPr>
          <w:rFonts w:ascii="Arial" w:hAnsi="Arial" w:cs="Arial"/>
          <w:lang w:val="es-ES"/>
        </w:rPr>
      </w:pPr>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Para cada operador la VLAN S identifica al nodo de acceso y la VLAN C al cliente. Como se ha indicado anteriormente la VLAN C de cliente se asignará por parte de </w:t>
      </w:r>
      <w:r w:rsidR="009D686F">
        <w:rPr>
          <w:rFonts w:ascii="Arial" w:hAnsi="Arial" w:cs="Arial"/>
          <w:lang w:val="es-ES"/>
        </w:rPr>
        <w:t>Telefónica</w:t>
      </w:r>
      <w:r>
        <w:rPr>
          <w:rFonts w:ascii="Arial" w:hAnsi="Arial" w:cs="Arial"/>
          <w:lang w:val="es-ES"/>
        </w:rPr>
        <w:t xml:space="preserve"> y se comunicará al Operador. </w:t>
      </w:r>
    </w:p>
    <w:p w:rsidR="00A01BB6" w:rsidRDefault="00A01BB6" w:rsidP="00A01BB6">
      <w:pPr>
        <w:pStyle w:val="Textoindependiente"/>
        <w:spacing w:before="60" w:after="60"/>
        <w:ind w:left="709"/>
        <w:rPr>
          <w:rFonts w:ascii="Arial" w:hAnsi="Arial" w:cs="Arial"/>
          <w:lang w:val="es-ES"/>
        </w:rPr>
      </w:pPr>
      <w:r w:rsidRPr="00A01BB6">
        <w:rPr>
          <w:rFonts w:ascii="Arial" w:hAnsi="Arial" w:cs="Arial"/>
          <w:lang w:val="es-ES"/>
        </w:rPr>
        <w:t>Por cada pPAI y operador, se generarán secuencialmente las S-VLAN empezando por el valor más bajo posible y aumentando éste cada vez que se pida una primera conexión dependiente de un equipo de acceso diferente (no accedido hasta ese momento desde ese pPAI y operador). Para cada S-VLAN será creado un grupo de C-VLAN, que Telefónica irá asignando también secuencialmente y empezando por el valor más bajo, conforme se provisionen las conexiones para un operador, pPAI y S-VLAN dados.</w:t>
      </w:r>
    </w:p>
    <w:p w:rsidR="00E02C27" w:rsidRDefault="00E02C27">
      <w:pPr>
        <w:pStyle w:val="Textoindependiente"/>
        <w:ind w:left="1418" w:hanging="545"/>
        <w:rPr>
          <w:rFonts w:ascii="Arial" w:hAnsi="Arial" w:cs="Arial"/>
          <w:lang w:val="es-ES"/>
        </w:rPr>
      </w:pPr>
    </w:p>
    <w:p w:rsidR="00E02C27" w:rsidRDefault="00E02C27" w:rsidP="006B5381">
      <w:pPr>
        <w:pStyle w:val="EstiloTitulo2"/>
      </w:pPr>
      <w:bookmarkStart w:id="22" w:name="_Toc444784441"/>
      <w:r>
        <w:t>Protocolos (IPoE, PPPoE)</w:t>
      </w:r>
      <w:bookmarkEnd w:id="22"/>
    </w:p>
    <w:p w:rsidR="00E02C27" w:rsidRDefault="00E02C27" w:rsidP="00B86B06">
      <w:pPr>
        <w:pStyle w:val="Textoindependiente"/>
        <w:spacing w:before="60" w:after="60"/>
        <w:ind w:left="431"/>
        <w:rPr>
          <w:rFonts w:ascii="Arial" w:hAnsi="Arial" w:cs="Arial"/>
          <w:lang w:val="es-ES"/>
        </w:rPr>
      </w:pPr>
      <w:r>
        <w:rPr>
          <w:rFonts w:ascii="Arial" w:hAnsi="Arial" w:cs="Arial"/>
          <w:lang w:val="es-ES"/>
        </w:rPr>
        <w:t xml:space="preserve">Los protocolos contemplados en el servicio y para los que la red de acceso y agregación de </w:t>
      </w:r>
      <w:r w:rsidR="00B86B06">
        <w:rPr>
          <w:rFonts w:ascii="Arial" w:hAnsi="Arial" w:cs="Arial"/>
          <w:lang w:val="es-ES"/>
        </w:rPr>
        <w:t xml:space="preserve">Telefónica </w:t>
      </w:r>
      <w:r>
        <w:rPr>
          <w:rFonts w:ascii="Arial" w:hAnsi="Arial" w:cs="Arial"/>
          <w:lang w:val="es-ES"/>
        </w:rPr>
        <w:t>asegura el funcionamiento correcto del mismo son los siguientes:</w:t>
      </w:r>
    </w:p>
    <w:p w:rsidR="00E02C27" w:rsidRDefault="00E02C27">
      <w:pPr>
        <w:numPr>
          <w:ilvl w:val="0"/>
          <w:numId w:val="42"/>
        </w:numPr>
        <w:spacing w:before="60" w:after="60"/>
        <w:jc w:val="left"/>
        <w:rPr>
          <w:rFonts w:ascii="Arial" w:hAnsi="Arial" w:cs="Arial"/>
          <w:sz w:val="24"/>
          <w:szCs w:val="24"/>
        </w:rPr>
      </w:pPr>
      <w:r>
        <w:rPr>
          <w:rFonts w:ascii="Arial" w:hAnsi="Arial" w:cs="Arial"/>
          <w:sz w:val="24"/>
          <w:szCs w:val="24"/>
        </w:rPr>
        <w:t>IPoE</w:t>
      </w:r>
    </w:p>
    <w:p w:rsidR="00E02C27" w:rsidRDefault="00E02C27">
      <w:pPr>
        <w:numPr>
          <w:ilvl w:val="0"/>
          <w:numId w:val="42"/>
        </w:numPr>
        <w:spacing w:before="60" w:after="60"/>
        <w:jc w:val="left"/>
        <w:rPr>
          <w:rFonts w:ascii="Arial" w:hAnsi="Arial" w:cs="Arial"/>
          <w:sz w:val="24"/>
          <w:szCs w:val="24"/>
        </w:rPr>
      </w:pPr>
      <w:r>
        <w:rPr>
          <w:rFonts w:ascii="Arial" w:hAnsi="Arial" w:cs="Arial"/>
          <w:sz w:val="24"/>
          <w:szCs w:val="24"/>
        </w:rPr>
        <w:t>PPPoE</w:t>
      </w:r>
    </w:p>
    <w:p w:rsidR="00E02C27" w:rsidRDefault="00E02C27">
      <w:pPr>
        <w:spacing w:before="60" w:after="60"/>
        <w:ind w:left="1058"/>
        <w:jc w:val="left"/>
        <w:rPr>
          <w:rFonts w:ascii="Arial" w:hAnsi="Arial" w:cs="Arial"/>
          <w:sz w:val="24"/>
          <w:szCs w:val="24"/>
        </w:rPr>
      </w:pPr>
    </w:p>
    <w:p w:rsidR="00E02C27" w:rsidRDefault="00E02C27" w:rsidP="00381430">
      <w:pPr>
        <w:pStyle w:val="EstiloTtulo1"/>
        <w:keepNext/>
      </w:pPr>
      <w:bookmarkStart w:id="23" w:name="_Toc256073055"/>
      <w:bookmarkStart w:id="24" w:name="_Toc256164872"/>
      <w:bookmarkStart w:id="25" w:name="_Toc444784442"/>
      <w:bookmarkEnd w:id="23"/>
      <w:bookmarkEnd w:id="24"/>
      <w:r>
        <w:t>Transporte eN LA REM y PUNTOS DE entrega (PAI-E)</w:t>
      </w:r>
      <w:bookmarkEnd w:id="25"/>
    </w:p>
    <w:p w:rsidR="00E02C27" w:rsidRDefault="00E02C27" w:rsidP="00381430">
      <w:pPr>
        <w:keepNext/>
        <w:ind w:left="1418" w:hanging="545"/>
        <w:rPr>
          <w:rFonts w:ascii="Arial" w:hAnsi="Arial" w:cs="Arial"/>
        </w:rPr>
      </w:pPr>
    </w:p>
    <w:p w:rsidR="00E02C27" w:rsidRDefault="00E02C27" w:rsidP="006B5381">
      <w:pPr>
        <w:pStyle w:val="EstiloTitulo2"/>
      </w:pPr>
      <w:bookmarkStart w:id="26" w:name="_Toc444784443"/>
      <w:r>
        <w:t>Conectividad</w:t>
      </w:r>
      <w:bookmarkEnd w:id="26"/>
      <w:r>
        <w:t xml:space="preserve"> </w:t>
      </w:r>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La solución técnica adoptada establecerá una conectividad punto a punto para cada operador desde cada DSLAM/OLT hasta cada pPAI, común para las calidades de servicio embebidas de las conexiones de dicho operador. </w:t>
      </w:r>
    </w:p>
    <w:p w:rsidR="00E02C27" w:rsidRDefault="00E02C27">
      <w:pPr>
        <w:pStyle w:val="Textoindependiente"/>
        <w:spacing w:before="60" w:after="60"/>
        <w:ind w:left="431"/>
        <w:rPr>
          <w:rFonts w:ascii="Arial" w:hAnsi="Arial" w:cs="Arial"/>
          <w:lang w:val="es-ES"/>
        </w:rPr>
      </w:pPr>
      <w:r>
        <w:rPr>
          <w:rFonts w:ascii="Arial" w:hAnsi="Arial" w:cs="Arial"/>
          <w:lang w:val="es-ES"/>
        </w:rPr>
        <w:t>La REM cursará tramas Ethernet con doble etiqueta de VLAN según estándar 802.1ad (Q-in-Q). El valor Ethertype de la etiqueta interna (C-tag) es 0x8100, sin embargo, el de la etiqueta externa (S-tag) podrá ser 0x8100 ó 0x88a8. Este valor será un parámetro de provisión que deberá indicar el Operador en la contratación del servicio NEBA.</w:t>
      </w:r>
    </w:p>
    <w:p w:rsidR="00E02C27" w:rsidRPr="00381430" w:rsidRDefault="00E02C27">
      <w:pPr>
        <w:pStyle w:val="Textoindependiente"/>
        <w:spacing w:before="60" w:after="60"/>
        <w:ind w:left="431"/>
        <w:rPr>
          <w:rFonts w:ascii="Arial" w:hAnsi="Arial" w:cs="Arial"/>
          <w:sz w:val="16"/>
          <w:szCs w:val="16"/>
          <w:lang w:val="es-ES"/>
        </w:rPr>
      </w:pPr>
    </w:p>
    <w:p w:rsidR="00E02C27" w:rsidRDefault="00E5554F">
      <w:pPr>
        <w:pStyle w:val="Textoindependiente"/>
        <w:spacing w:before="60" w:after="60"/>
        <w:ind w:left="0"/>
        <w:rPr>
          <w:rFonts w:ascii="Arial" w:hAnsi="Arial" w:cs="Arial"/>
          <w:lang w:val="es-ES"/>
        </w:rPr>
      </w:pPr>
      <w:r>
        <w:rPr>
          <w:rFonts w:ascii="Arial" w:hAnsi="Arial" w:cs="Arial"/>
          <w:noProof/>
          <w:lang w:val="es-ES"/>
        </w:rPr>
        <w:drawing>
          <wp:inline distT="0" distB="0" distL="0" distR="0" wp14:anchorId="51B5E3F4" wp14:editId="49F6DDCF">
            <wp:extent cx="6477000" cy="403860"/>
            <wp:effectExtent l="0" t="0" r="0" b="0"/>
            <wp:docPr id="9" name="Imagen 9" descr="Dibu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buj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7000" cy="403860"/>
                    </a:xfrm>
                    <a:prstGeom prst="rect">
                      <a:avLst/>
                    </a:prstGeom>
                    <a:noFill/>
                    <a:ln>
                      <a:noFill/>
                    </a:ln>
                  </pic:spPr>
                </pic:pic>
              </a:graphicData>
            </a:graphic>
          </wp:inline>
        </w:drawing>
      </w:r>
    </w:p>
    <w:p w:rsidR="00E02C27" w:rsidRPr="00381430" w:rsidRDefault="00E02C27">
      <w:pPr>
        <w:autoSpaceDE w:val="0"/>
        <w:autoSpaceDN w:val="0"/>
        <w:adjustRightInd w:val="0"/>
        <w:spacing w:before="120" w:after="120"/>
        <w:ind w:left="431"/>
        <w:rPr>
          <w:rFonts w:ascii="Arial" w:hAnsi="Arial" w:cs="Arial"/>
          <w:sz w:val="16"/>
          <w:szCs w:val="16"/>
        </w:rPr>
      </w:pPr>
    </w:p>
    <w:p w:rsidR="00E02C27" w:rsidRDefault="00E02C27">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 xml:space="preserve">En sentido descendente el Operador y </w:t>
      </w:r>
      <w:r w:rsidR="009D686F">
        <w:rPr>
          <w:rFonts w:ascii="Arial" w:hAnsi="Arial" w:cs="Arial"/>
          <w:color w:val="000000"/>
          <w:sz w:val="24"/>
          <w:szCs w:val="24"/>
        </w:rPr>
        <w:t>Telefónica</w:t>
      </w:r>
      <w:r>
        <w:rPr>
          <w:rFonts w:ascii="Arial" w:hAnsi="Arial" w:cs="Arial"/>
          <w:color w:val="000000"/>
          <w:sz w:val="24"/>
          <w:szCs w:val="24"/>
        </w:rPr>
        <w:t xml:space="preserve"> deberán acordar el identificador de VLAN externa para cada nodo de acceso. El operador utilizará dicho identificador de VLAN para  construir el etiquetado Q-in-Q para entregar el tráfico en el pPAI.</w:t>
      </w:r>
    </w:p>
    <w:p w:rsidR="00E02C27" w:rsidRDefault="00E02C27">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En sentido descendente, la red Ethernet preservará el valor de los bits de prioridad 802.1p de la etiqueta C-tag que el Operador marque en las tramas Ethernet que genere desde su equipamiento de red y que presente en el pPAI.</w:t>
      </w:r>
    </w:p>
    <w:p w:rsidR="00E02C27" w:rsidRDefault="00E02C27">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 xml:space="preserve">En sentido ascendente, la red Ethernet preservará el valor de los bits de prioridad 802.1p de la etiqueta C-tag que el DSLAM/OLT presente en las tramas Ethernet. </w:t>
      </w:r>
    </w:p>
    <w:p w:rsidR="00E02C27" w:rsidRDefault="00E02C27" w:rsidP="00516F2C">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La red Ethernet interpretará el valor de los bits 802.1p de la S-tag (VLAN externa) que marque el DSLAM/OLT en un extremo y equipo de red de Operador en el lado del pPAI</w:t>
      </w:r>
      <w:r>
        <w:rPr>
          <w:rFonts w:ascii="Arial" w:hAnsi="Arial" w:cs="Arial"/>
          <w:color w:val="0000FF"/>
          <w:sz w:val="24"/>
          <w:szCs w:val="24"/>
        </w:rPr>
        <w:t xml:space="preserve">, </w:t>
      </w:r>
      <w:r>
        <w:rPr>
          <w:rFonts w:ascii="Arial" w:hAnsi="Arial" w:cs="Arial"/>
          <w:color w:val="000000"/>
          <w:sz w:val="24"/>
          <w:szCs w:val="24"/>
        </w:rPr>
        <w:t xml:space="preserve">para dar el tratamiento de calidad de servicio adecuado a cada trama en su curso por la red Ethernet. Los nodos Ethernet reescribirán el valor de esos bits p en salida (hacia equipo DSLAM/OLT en un extremo y hacia equipo de red de Operador en el otro extremo) de acuerdo a la calidad de servicio correspondiente. En la tabla siguiente se refleja la propuesta de correspondencia entre "calidad de servicio" y "valor de los bits 802.1p” que los equipos de </w:t>
      </w:r>
      <w:r w:rsidR="009D686F">
        <w:rPr>
          <w:rFonts w:ascii="Arial" w:hAnsi="Arial" w:cs="Arial"/>
          <w:color w:val="000000"/>
          <w:sz w:val="24"/>
          <w:szCs w:val="24"/>
        </w:rPr>
        <w:t>Telefónica</w:t>
      </w:r>
      <w:r>
        <w:rPr>
          <w:rFonts w:ascii="Arial" w:hAnsi="Arial" w:cs="Arial"/>
          <w:color w:val="000000"/>
          <w:sz w:val="24"/>
          <w:szCs w:val="24"/>
        </w:rPr>
        <w:t xml:space="preserve"> considerarán para la priorización del tráfico de los </w:t>
      </w:r>
      <w:r w:rsidR="00A41886">
        <w:rPr>
          <w:rFonts w:ascii="Arial" w:hAnsi="Arial" w:cs="Arial"/>
          <w:color w:val="000000"/>
          <w:sz w:val="24"/>
          <w:szCs w:val="24"/>
        </w:rPr>
        <w:t>operadores</w:t>
      </w:r>
      <w:r>
        <w:rPr>
          <w:rFonts w:ascii="Arial" w:hAnsi="Arial" w:cs="Arial"/>
          <w:color w:val="000000"/>
          <w:sz w:val="24"/>
          <w:szCs w:val="24"/>
        </w:rPr>
        <w:t>:</w:t>
      </w:r>
    </w:p>
    <w:p w:rsidR="00E02C27" w:rsidRDefault="00E02C27">
      <w:pPr>
        <w:autoSpaceDE w:val="0"/>
        <w:autoSpaceDN w:val="0"/>
        <w:adjustRightInd w:val="0"/>
        <w:ind w:left="431"/>
        <w:rPr>
          <w:rFonts w:ascii="Arial" w:hAnsi="Arial" w:cs="Arial"/>
          <w:color w:val="0000FF"/>
          <w:sz w:val="24"/>
          <w:szCs w:val="24"/>
        </w:rPr>
      </w:pP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1"/>
        <w:gridCol w:w="4677"/>
      </w:tblGrid>
      <w:tr w:rsidR="00E02C27">
        <w:tc>
          <w:tcPr>
            <w:tcW w:w="4111" w:type="dxa"/>
          </w:tcPr>
          <w:p w:rsidR="00E02C27" w:rsidRDefault="00E02C27">
            <w:pPr>
              <w:autoSpaceDE w:val="0"/>
              <w:autoSpaceDN w:val="0"/>
              <w:adjustRightInd w:val="0"/>
              <w:ind w:left="0"/>
              <w:rPr>
                <w:rFonts w:ascii="Arial" w:hAnsi="Arial" w:cs="Arial"/>
                <w:sz w:val="24"/>
                <w:szCs w:val="24"/>
              </w:rPr>
            </w:pPr>
            <w:r>
              <w:rPr>
                <w:rFonts w:ascii="Arial" w:hAnsi="Arial" w:cs="Arial"/>
                <w:sz w:val="24"/>
                <w:szCs w:val="24"/>
              </w:rPr>
              <w:t xml:space="preserve">Valores incluidos por el Operador  </w:t>
            </w:r>
          </w:p>
          <w:p w:rsidR="00E02C27" w:rsidRDefault="00E02C27">
            <w:pPr>
              <w:autoSpaceDE w:val="0"/>
              <w:autoSpaceDN w:val="0"/>
              <w:adjustRightInd w:val="0"/>
              <w:ind w:left="0"/>
              <w:rPr>
                <w:rFonts w:ascii="Arial" w:hAnsi="Arial" w:cs="Arial"/>
                <w:sz w:val="24"/>
                <w:szCs w:val="24"/>
              </w:rPr>
            </w:pPr>
            <w:r>
              <w:rPr>
                <w:rFonts w:ascii="Arial" w:hAnsi="Arial" w:cs="Arial"/>
                <w:sz w:val="24"/>
                <w:szCs w:val="24"/>
              </w:rPr>
              <w:t>(marcados por el CPE)</w:t>
            </w:r>
          </w:p>
        </w:tc>
        <w:tc>
          <w:tcPr>
            <w:tcW w:w="4677" w:type="dxa"/>
          </w:tcPr>
          <w:p w:rsidR="00E02C27" w:rsidRDefault="00E02C27">
            <w:pPr>
              <w:autoSpaceDE w:val="0"/>
              <w:autoSpaceDN w:val="0"/>
              <w:adjustRightInd w:val="0"/>
              <w:ind w:left="0"/>
              <w:rPr>
                <w:rFonts w:ascii="Arial" w:hAnsi="Arial" w:cs="Arial"/>
                <w:sz w:val="24"/>
                <w:szCs w:val="24"/>
              </w:rPr>
            </w:pPr>
            <w:r>
              <w:rPr>
                <w:rFonts w:ascii="Arial" w:hAnsi="Arial" w:cs="Arial"/>
                <w:sz w:val="24"/>
                <w:szCs w:val="24"/>
              </w:rPr>
              <w:t xml:space="preserve"> Valores de QoS considerados por </w:t>
            </w:r>
            <w:r w:rsidR="009D686F">
              <w:rPr>
                <w:rFonts w:ascii="Arial" w:hAnsi="Arial" w:cs="Arial"/>
                <w:sz w:val="24"/>
                <w:szCs w:val="24"/>
              </w:rPr>
              <w:t>Telefónica</w:t>
            </w:r>
          </w:p>
        </w:tc>
      </w:tr>
      <w:tr w:rsidR="00E02C27">
        <w:tc>
          <w:tcPr>
            <w:tcW w:w="4111" w:type="dxa"/>
          </w:tcPr>
          <w:p w:rsidR="00E02C27" w:rsidRDefault="00E02C27">
            <w:pPr>
              <w:autoSpaceDE w:val="0"/>
              <w:autoSpaceDN w:val="0"/>
              <w:adjustRightInd w:val="0"/>
              <w:ind w:left="0"/>
              <w:rPr>
                <w:rFonts w:ascii="Arial" w:hAnsi="Arial" w:cs="Arial"/>
                <w:sz w:val="24"/>
                <w:szCs w:val="24"/>
                <w:lang w:val="en-GB"/>
              </w:rPr>
            </w:pPr>
            <w:r>
              <w:rPr>
                <w:rFonts w:ascii="Arial" w:hAnsi="Arial" w:cs="Arial"/>
                <w:sz w:val="24"/>
                <w:szCs w:val="24"/>
                <w:lang w:val="en-GB"/>
              </w:rPr>
              <w:t>5</w:t>
            </w:r>
          </w:p>
        </w:tc>
        <w:tc>
          <w:tcPr>
            <w:tcW w:w="4677" w:type="dxa"/>
          </w:tcPr>
          <w:p w:rsidR="00E02C27" w:rsidRDefault="00E02C27">
            <w:pPr>
              <w:autoSpaceDE w:val="0"/>
              <w:autoSpaceDN w:val="0"/>
              <w:adjustRightInd w:val="0"/>
              <w:ind w:left="0"/>
              <w:rPr>
                <w:rFonts w:ascii="Arial" w:hAnsi="Arial" w:cs="Arial"/>
                <w:sz w:val="24"/>
                <w:szCs w:val="24"/>
                <w:lang w:val="en-GB"/>
              </w:rPr>
            </w:pPr>
            <w:r>
              <w:rPr>
                <w:rFonts w:ascii="Arial" w:hAnsi="Arial" w:cs="Arial"/>
                <w:sz w:val="24"/>
                <w:szCs w:val="24"/>
                <w:lang w:val="en-GB"/>
              </w:rPr>
              <w:t>5</w:t>
            </w:r>
            <w:r w:rsidR="00A312F2">
              <w:rPr>
                <w:rFonts w:ascii="Arial" w:hAnsi="Arial" w:cs="Arial"/>
                <w:sz w:val="24"/>
                <w:szCs w:val="24"/>
                <w:lang w:val="en-GB"/>
              </w:rPr>
              <w:t xml:space="preserve"> </w:t>
            </w:r>
            <w:r>
              <w:rPr>
                <w:rFonts w:ascii="Arial" w:hAnsi="Arial" w:cs="Arial"/>
                <w:sz w:val="24"/>
                <w:szCs w:val="24"/>
                <w:lang w:val="en-GB"/>
              </w:rPr>
              <w:t>- Real Time</w:t>
            </w:r>
          </w:p>
        </w:tc>
      </w:tr>
      <w:tr w:rsidR="00E02C27">
        <w:tc>
          <w:tcPr>
            <w:tcW w:w="4111" w:type="dxa"/>
          </w:tcPr>
          <w:p w:rsidR="00E02C27" w:rsidRDefault="00E02C27">
            <w:pPr>
              <w:autoSpaceDE w:val="0"/>
              <w:autoSpaceDN w:val="0"/>
              <w:adjustRightInd w:val="0"/>
              <w:ind w:left="0"/>
              <w:rPr>
                <w:rFonts w:ascii="Arial" w:hAnsi="Arial" w:cs="Arial"/>
                <w:sz w:val="24"/>
                <w:szCs w:val="24"/>
                <w:lang w:val="en-GB"/>
              </w:rPr>
            </w:pPr>
            <w:r>
              <w:rPr>
                <w:rFonts w:ascii="Arial" w:hAnsi="Arial" w:cs="Arial"/>
                <w:sz w:val="24"/>
                <w:szCs w:val="24"/>
                <w:lang w:val="en-GB"/>
              </w:rPr>
              <w:t>3</w:t>
            </w:r>
          </w:p>
        </w:tc>
        <w:tc>
          <w:tcPr>
            <w:tcW w:w="4677" w:type="dxa"/>
          </w:tcPr>
          <w:p w:rsidR="00E02C27" w:rsidRDefault="00E02C27">
            <w:pPr>
              <w:autoSpaceDE w:val="0"/>
              <w:autoSpaceDN w:val="0"/>
              <w:adjustRightInd w:val="0"/>
              <w:ind w:left="0"/>
              <w:rPr>
                <w:rFonts w:ascii="Arial" w:hAnsi="Arial" w:cs="Arial"/>
                <w:sz w:val="24"/>
                <w:szCs w:val="24"/>
                <w:lang w:val="en-GB"/>
              </w:rPr>
            </w:pPr>
            <w:r>
              <w:rPr>
                <w:rFonts w:ascii="Arial" w:hAnsi="Arial" w:cs="Arial"/>
                <w:sz w:val="24"/>
                <w:szCs w:val="24"/>
                <w:lang w:val="en-GB"/>
              </w:rPr>
              <w:t>3 - Oro</w:t>
            </w:r>
          </w:p>
        </w:tc>
      </w:tr>
      <w:tr w:rsidR="00E02C27">
        <w:tc>
          <w:tcPr>
            <w:tcW w:w="4111" w:type="dxa"/>
          </w:tcPr>
          <w:p w:rsidR="00E02C27" w:rsidRDefault="00E02C27">
            <w:pPr>
              <w:autoSpaceDE w:val="0"/>
              <w:autoSpaceDN w:val="0"/>
              <w:adjustRightInd w:val="0"/>
              <w:ind w:left="0"/>
              <w:rPr>
                <w:rFonts w:ascii="Arial" w:hAnsi="Arial" w:cs="Arial"/>
                <w:sz w:val="24"/>
                <w:szCs w:val="24"/>
                <w:lang w:val="en-GB"/>
              </w:rPr>
            </w:pPr>
            <w:r>
              <w:rPr>
                <w:rFonts w:ascii="Arial" w:hAnsi="Arial" w:cs="Arial"/>
                <w:sz w:val="24"/>
                <w:szCs w:val="24"/>
                <w:lang w:val="en-GB"/>
              </w:rPr>
              <w:t>0(*)</w:t>
            </w:r>
          </w:p>
        </w:tc>
        <w:tc>
          <w:tcPr>
            <w:tcW w:w="4677" w:type="dxa"/>
          </w:tcPr>
          <w:p w:rsidR="00E02C27" w:rsidRDefault="00E02C27">
            <w:pPr>
              <w:autoSpaceDE w:val="0"/>
              <w:autoSpaceDN w:val="0"/>
              <w:adjustRightInd w:val="0"/>
              <w:ind w:left="0"/>
              <w:rPr>
                <w:rFonts w:ascii="Arial" w:hAnsi="Arial" w:cs="Arial"/>
                <w:sz w:val="24"/>
                <w:szCs w:val="24"/>
                <w:lang w:val="en-GB"/>
              </w:rPr>
            </w:pPr>
            <w:r>
              <w:rPr>
                <w:rFonts w:ascii="Arial" w:hAnsi="Arial" w:cs="Arial"/>
                <w:sz w:val="24"/>
                <w:szCs w:val="24"/>
                <w:lang w:val="en-GB"/>
              </w:rPr>
              <w:t>0 - Best Effort</w:t>
            </w:r>
          </w:p>
        </w:tc>
      </w:tr>
    </w:tbl>
    <w:p w:rsidR="00E02C27" w:rsidRDefault="00E02C27">
      <w:pPr>
        <w:autoSpaceDE w:val="0"/>
        <w:autoSpaceDN w:val="0"/>
        <w:adjustRightInd w:val="0"/>
        <w:ind w:left="431"/>
        <w:rPr>
          <w:rFonts w:ascii="Arial" w:hAnsi="Arial" w:cs="Arial"/>
          <w:color w:val="0000FF"/>
          <w:sz w:val="24"/>
          <w:szCs w:val="24"/>
          <w:lang w:val="en-GB"/>
        </w:rPr>
      </w:pPr>
    </w:p>
    <w:p w:rsidR="00E02C27" w:rsidRDefault="00E02C27">
      <w:pPr>
        <w:autoSpaceDE w:val="0"/>
        <w:autoSpaceDN w:val="0"/>
        <w:adjustRightInd w:val="0"/>
        <w:spacing w:before="60" w:after="60"/>
        <w:ind w:left="431"/>
        <w:jc w:val="left"/>
        <w:rPr>
          <w:rFonts w:ascii="Arial" w:hAnsi="Arial" w:cs="Arial"/>
          <w:sz w:val="24"/>
          <w:szCs w:val="24"/>
        </w:rPr>
      </w:pPr>
      <w:r>
        <w:rPr>
          <w:rFonts w:ascii="Arial" w:hAnsi="Arial" w:cs="Arial"/>
          <w:sz w:val="24"/>
          <w:szCs w:val="24"/>
          <w:lang w:val="es-ES_tradnl"/>
        </w:rPr>
        <w:t xml:space="preserve">(*) </w:t>
      </w:r>
      <w:r>
        <w:rPr>
          <w:rFonts w:ascii="Arial" w:hAnsi="Arial" w:cs="Arial"/>
          <w:sz w:val="24"/>
          <w:szCs w:val="24"/>
        </w:rPr>
        <w:t xml:space="preserve">El tráfico de las calidades no asignadas será descartado ya que no existe garantía de que pueda ser remarcado por defecto a una determinada QoS. </w:t>
      </w:r>
    </w:p>
    <w:p w:rsidR="00E02C27" w:rsidRDefault="00E02C27">
      <w:pPr>
        <w:autoSpaceDE w:val="0"/>
        <w:autoSpaceDN w:val="0"/>
        <w:adjustRightInd w:val="0"/>
        <w:spacing w:before="60" w:after="60"/>
        <w:ind w:left="431"/>
        <w:jc w:val="left"/>
        <w:rPr>
          <w:rFonts w:ascii="Arial" w:hAnsi="Arial" w:cs="Arial"/>
          <w:color w:val="000000"/>
          <w:sz w:val="24"/>
          <w:szCs w:val="24"/>
        </w:rPr>
      </w:pPr>
      <w:r>
        <w:rPr>
          <w:rFonts w:ascii="Arial" w:hAnsi="Arial" w:cs="Arial"/>
          <w:color w:val="000000"/>
          <w:sz w:val="24"/>
          <w:szCs w:val="24"/>
        </w:rPr>
        <w:t>Estos valores se considerarán en la conexión del pPAI, en la conexión DSLAM/OLT - Red Ethe</w:t>
      </w:r>
      <w:r w:rsidR="00B849C7">
        <w:rPr>
          <w:rFonts w:ascii="Arial" w:hAnsi="Arial" w:cs="Arial"/>
          <w:color w:val="000000"/>
          <w:sz w:val="24"/>
          <w:szCs w:val="24"/>
        </w:rPr>
        <w:t>r</w:t>
      </w:r>
      <w:r>
        <w:rPr>
          <w:rFonts w:ascii="Arial" w:hAnsi="Arial" w:cs="Arial"/>
          <w:color w:val="000000"/>
          <w:sz w:val="24"/>
          <w:szCs w:val="24"/>
        </w:rPr>
        <w:t xml:space="preserve">net, y en la conexión Modem </w:t>
      </w:r>
      <w:r w:rsidR="00A63429">
        <w:rPr>
          <w:rFonts w:ascii="Arial" w:hAnsi="Arial" w:cs="Arial"/>
          <w:color w:val="000000"/>
          <w:sz w:val="24"/>
          <w:szCs w:val="24"/>
        </w:rPr>
        <w:t>o</w:t>
      </w:r>
      <w:r>
        <w:rPr>
          <w:rFonts w:ascii="Arial" w:hAnsi="Arial" w:cs="Arial"/>
          <w:color w:val="000000"/>
          <w:sz w:val="24"/>
          <w:szCs w:val="24"/>
        </w:rPr>
        <w:t xml:space="preserve"> ONT a equipo de la Red de Acceso (DSLAM/OLT)</w:t>
      </w:r>
      <w:r w:rsidR="00A312F2">
        <w:rPr>
          <w:rFonts w:ascii="Arial" w:hAnsi="Arial" w:cs="Arial"/>
          <w:color w:val="000000"/>
          <w:sz w:val="24"/>
          <w:szCs w:val="24"/>
        </w:rPr>
        <w:t>.</w:t>
      </w:r>
    </w:p>
    <w:p w:rsidR="00E02C27" w:rsidRDefault="00E02C27" w:rsidP="00851CB6">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 xml:space="preserve">La red Ethernet multiservicio (REM) de </w:t>
      </w:r>
      <w:r w:rsidR="009D686F">
        <w:rPr>
          <w:rFonts w:ascii="Arial" w:hAnsi="Arial" w:cs="Arial"/>
          <w:color w:val="000000"/>
          <w:sz w:val="24"/>
          <w:szCs w:val="24"/>
        </w:rPr>
        <w:t>Telefónica</w:t>
      </w:r>
      <w:r>
        <w:rPr>
          <w:rFonts w:ascii="Arial" w:hAnsi="Arial" w:cs="Arial"/>
          <w:color w:val="000000"/>
          <w:sz w:val="24"/>
          <w:szCs w:val="24"/>
        </w:rPr>
        <w:t xml:space="preserve"> no utilizará el identificador de VLAN interno que inserta el operador para establecer la conectividad de nivel 2. La conmutación entre los diferentes nodos de la red se basará en la etiqueta S-tag. </w:t>
      </w:r>
    </w:p>
    <w:p w:rsidR="00E02C27" w:rsidRDefault="00E02C27">
      <w:pPr>
        <w:autoSpaceDE w:val="0"/>
        <w:autoSpaceDN w:val="0"/>
        <w:adjustRightInd w:val="0"/>
        <w:spacing w:before="60" w:after="60"/>
        <w:ind w:left="431"/>
        <w:rPr>
          <w:rFonts w:ascii="Arial" w:hAnsi="Arial" w:cs="Arial"/>
          <w:color w:val="000000"/>
          <w:sz w:val="24"/>
          <w:szCs w:val="24"/>
        </w:rPr>
      </w:pPr>
      <w:r>
        <w:rPr>
          <w:rFonts w:ascii="Arial" w:hAnsi="Arial" w:cs="Arial"/>
          <w:color w:val="000000"/>
          <w:sz w:val="24"/>
          <w:szCs w:val="24"/>
        </w:rPr>
        <w:t xml:space="preserve">Se soportarán hasta 4.096 identificadores de VLAN externa diferentes por pPAI. El esquema de identificación deberá ser acordado entre </w:t>
      </w:r>
      <w:r w:rsidR="009D686F">
        <w:rPr>
          <w:rFonts w:ascii="Arial" w:hAnsi="Arial" w:cs="Arial"/>
          <w:color w:val="000000"/>
          <w:sz w:val="24"/>
          <w:szCs w:val="24"/>
        </w:rPr>
        <w:t>Telefónica</w:t>
      </w:r>
      <w:r>
        <w:rPr>
          <w:rFonts w:ascii="Arial" w:hAnsi="Arial" w:cs="Arial"/>
          <w:color w:val="000000"/>
          <w:sz w:val="24"/>
          <w:szCs w:val="24"/>
        </w:rPr>
        <w:t xml:space="preserve"> y los </w:t>
      </w:r>
      <w:r w:rsidR="00A41886">
        <w:rPr>
          <w:rFonts w:ascii="Arial" w:hAnsi="Arial" w:cs="Arial"/>
          <w:color w:val="000000"/>
          <w:sz w:val="24"/>
          <w:szCs w:val="24"/>
        </w:rPr>
        <w:t>operadores</w:t>
      </w:r>
      <w:r>
        <w:rPr>
          <w:rFonts w:ascii="Arial" w:hAnsi="Arial" w:cs="Arial"/>
          <w:color w:val="000000"/>
          <w:sz w:val="24"/>
          <w:szCs w:val="24"/>
        </w:rPr>
        <w:t>.</w:t>
      </w:r>
    </w:p>
    <w:p w:rsidR="00E02C27" w:rsidRDefault="00E02C27">
      <w:pPr>
        <w:ind w:left="1418" w:hanging="545"/>
        <w:rPr>
          <w:rFonts w:ascii="Arial" w:hAnsi="Arial" w:cs="Arial"/>
        </w:rPr>
      </w:pPr>
    </w:p>
    <w:p w:rsidR="00E02C27" w:rsidRDefault="00E02C27" w:rsidP="006B5381">
      <w:pPr>
        <w:pStyle w:val="EstiloTitulo2"/>
      </w:pPr>
      <w:bookmarkStart w:id="27" w:name="_Toc444784444"/>
      <w:r>
        <w:t>Control de tráfico (descendente) por Operador.</w:t>
      </w:r>
      <w:bookmarkEnd w:id="27"/>
    </w:p>
    <w:p w:rsidR="00E02C27" w:rsidRDefault="00E02C27">
      <w:pPr>
        <w:pStyle w:val="Textoindependiente"/>
        <w:spacing w:before="240" w:after="60"/>
        <w:ind w:left="431"/>
        <w:rPr>
          <w:rFonts w:ascii="Arial" w:hAnsi="Arial" w:cs="Arial"/>
          <w:lang w:val="es-ES"/>
        </w:rPr>
      </w:pPr>
      <w:r>
        <w:rPr>
          <w:rFonts w:ascii="Arial" w:hAnsi="Arial" w:cs="Arial"/>
          <w:lang w:val="es-ES"/>
        </w:rPr>
        <w:t>En sentido descendente (desde pPAI a DSLAM/OLT) se establecerán los mecanismos necesarios en la red Ethernet para asegurar el correcto funcionamiento de los servicios y la no interferencia de unos sobre otros. Este aspecto es particularmente relevante entre servicios de operadores diferentes.</w:t>
      </w:r>
    </w:p>
    <w:p w:rsidR="00E02C27" w:rsidRDefault="00E02C27">
      <w:pPr>
        <w:pStyle w:val="Textoindependiente"/>
        <w:spacing w:before="60" w:after="60"/>
        <w:ind w:left="431"/>
        <w:rPr>
          <w:rFonts w:ascii="Arial" w:hAnsi="Arial" w:cs="Arial"/>
          <w:lang w:val="es-ES"/>
        </w:rPr>
      </w:pPr>
      <w:r>
        <w:rPr>
          <w:rFonts w:ascii="Arial" w:hAnsi="Arial" w:cs="Arial"/>
          <w:lang w:val="es-ES"/>
        </w:rPr>
        <w:t>Se establecerán las medidas siguientes:</w:t>
      </w:r>
    </w:p>
    <w:p w:rsidR="00E02C27" w:rsidRDefault="00E02C27">
      <w:pPr>
        <w:numPr>
          <w:ilvl w:val="0"/>
          <w:numId w:val="28"/>
        </w:numPr>
        <w:tabs>
          <w:tab w:val="clear" w:pos="1211"/>
          <w:tab w:val="num" w:pos="791"/>
        </w:tabs>
        <w:spacing w:before="60" w:after="60"/>
        <w:ind w:left="791"/>
        <w:rPr>
          <w:rFonts w:ascii="Arial" w:eastAsia="MS Mincho" w:hAnsi="Arial" w:cs="Arial"/>
          <w:sz w:val="24"/>
          <w:szCs w:val="24"/>
          <w:lang w:eastAsia="ja-JP"/>
        </w:rPr>
      </w:pPr>
      <w:r>
        <w:rPr>
          <w:rFonts w:ascii="Arial" w:eastAsia="MS Mincho" w:hAnsi="Arial" w:cs="Arial"/>
          <w:sz w:val="24"/>
          <w:szCs w:val="24"/>
          <w:u w:val="single"/>
          <w:lang w:eastAsia="ja-JP"/>
        </w:rPr>
        <w:t>Medidas de protección contra bucles físicos</w:t>
      </w:r>
      <w:r>
        <w:rPr>
          <w:rFonts w:ascii="Arial" w:eastAsia="MS Mincho" w:hAnsi="Arial" w:cs="Arial"/>
          <w:sz w:val="24"/>
          <w:szCs w:val="24"/>
          <w:lang w:eastAsia="ja-JP"/>
        </w:rPr>
        <w:t>. En el puerto pPAI-E, el nodo de la red Ethernet bloqueará el puerto cuando detecte un bucle físico y quedará bloqueado mientras perdure el bucle.</w:t>
      </w:r>
    </w:p>
    <w:p w:rsidR="00E02C27" w:rsidRPr="00371740" w:rsidRDefault="00E02C27">
      <w:pPr>
        <w:numPr>
          <w:ilvl w:val="0"/>
          <w:numId w:val="28"/>
        </w:numPr>
        <w:tabs>
          <w:tab w:val="clear" w:pos="1211"/>
          <w:tab w:val="num" w:pos="791"/>
        </w:tabs>
        <w:spacing w:before="60" w:after="60"/>
        <w:ind w:left="791"/>
        <w:rPr>
          <w:rFonts w:ascii="Arial" w:hAnsi="Arial" w:cs="Arial"/>
          <w:sz w:val="24"/>
          <w:szCs w:val="24"/>
        </w:rPr>
      </w:pPr>
      <w:r>
        <w:rPr>
          <w:rFonts w:ascii="Arial" w:eastAsia="MS Mincho" w:hAnsi="Arial" w:cs="Arial"/>
          <w:sz w:val="24"/>
          <w:szCs w:val="24"/>
          <w:u w:val="single"/>
          <w:lang w:eastAsia="ja-JP"/>
        </w:rPr>
        <w:t>Medidas de protección contra saturación de interfaces</w:t>
      </w:r>
      <w:r>
        <w:rPr>
          <w:rFonts w:ascii="Arial" w:eastAsia="MS Mincho" w:hAnsi="Arial" w:cs="Arial"/>
          <w:sz w:val="24"/>
          <w:szCs w:val="24"/>
          <w:lang w:eastAsia="ja-JP"/>
        </w:rPr>
        <w:t xml:space="preserve">. Para evitar que errores de configuración u otro tipo de problemas en los Router de los </w:t>
      </w:r>
      <w:r w:rsidR="00A41886">
        <w:rPr>
          <w:rFonts w:ascii="Arial" w:eastAsia="MS Mincho" w:hAnsi="Arial" w:cs="Arial"/>
          <w:sz w:val="24"/>
          <w:szCs w:val="24"/>
          <w:lang w:eastAsia="ja-JP"/>
        </w:rPr>
        <w:t>operadores</w:t>
      </w:r>
      <w:r>
        <w:rPr>
          <w:rFonts w:ascii="Arial" w:eastAsia="MS Mincho" w:hAnsi="Arial" w:cs="Arial"/>
          <w:sz w:val="24"/>
          <w:szCs w:val="24"/>
          <w:lang w:eastAsia="ja-JP"/>
        </w:rPr>
        <w:t xml:space="preserve"> puedan provocar saturación en alguno de los enlaces (GbE) entre nodo REM y DSLAM/OLT, se aplicará un </w:t>
      </w:r>
      <w:r>
        <w:rPr>
          <w:rFonts w:ascii="Arial" w:eastAsia="MS Mincho" w:hAnsi="Arial" w:cs="Arial"/>
          <w:i/>
          <w:sz w:val="24"/>
          <w:szCs w:val="24"/>
          <w:lang w:eastAsia="ja-JP"/>
        </w:rPr>
        <w:t>rate limit</w:t>
      </w:r>
      <w:r>
        <w:rPr>
          <w:rFonts w:ascii="Arial" w:eastAsia="MS Mincho" w:hAnsi="Arial" w:cs="Arial"/>
          <w:sz w:val="24"/>
          <w:szCs w:val="24"/>
          <w:lang w:eastAsia="ja-JP"/>
        </w:rPr>
        <w:t xml:space="preserve"> por VLAN entre pPAI-E y DSLAM/OLT. Este límite garantizará el funcionamiento normal de todos los servicios. Este rate_limit se realizará en base al  caudal agregado de todas las clases de servicio por Operador y DSLAM. </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Se podrán realizar diversas mediciones del tráfico, como, por ejemplo: </w:t>
      </w:r>
    </w:p>
    <w:p w:rsidR="00E02C27" w:rsidRDefault="00E02C27">
      <w:pPr>
        <w:numPr>
          <w:ilvl w:val="0"/>
          <w:numId w:val="28"/>
        </w:numPr>
        <w:tabs>
          <w:tab w:val="clear" w:pos="1211"/>
          <w:tab w:val="num" w:pos="791"/>
        </w:tabs>
        <w:spacing w:before="60" w:after="60"/>
        <w:ind w:left="791"/>
        <w:rPr>
          <w:rFonts w:ascii="Arial" w:eastAsia="MS Mincho" w:hAnsi="Arial" w:cs="Arial"/>
          <w:sz w:val="24"/>
          <w:szCs w:val="24"/>
          <w:lang w:eastAsia="ja-JP"/>
        </w:rPr>
      </w:pPr>
      <w:r>
        <w:rPr>
          <w:rFonts w:ascii="Arial" w:eastAsia="MS Mincho" w:hAnsi="Arial" w:cs="Arial"/>
          <w:sz w:val="24"/>
          <w:szCs w:val="24"/>
          <w:lang w:eastAsia="ja-JP"/>
        </w:rPr>
        <w:t>número de tramas Ethernet recibidas / enviadas por puerto de acceso pPAI-E y QoS</w:t>
      </w:r>
    </w:p>
    <w:p w:rsidR="00E02C27" w:rsidRDefault="00E02C27">
      <w:pPr>
        <w:numPr>
          <w:ilvl w:val="0"/>
          <w:numId w:val="28"/>
        </w:numPr>
        <w:tabs>
          <w:tab w:val="clear" w:pos="1211"/>
          <w:tab w:val="num" w:pos="791"/>
        </w:tabs>
        <w:spacing w:before="60" w:after="60"/>
        <w:ind w:left="791"/>
        <w:rPr>
          <w:rFonts w:ascii="Arial" w:eastAsia="MS Mincho" w:hAnsi="Arial" w:cs="Arial"/>
          <w:sz w:val="24"/>
          <w:szCs w:val="24"/>
          <w:lang w:eastAsia="ja-JP"/>
        </w:rPr>
      </w:pPr>
      <w:r>
        <w:rPr>
          <w:rFonts w:ascii="Arial" w:eastAsia="MS Mincho" w:hAnsi="Arial" w:cs="Arial"/>
          <w:sz w:val="24"/>
          <w:szCs w:val="24"/>
          <w:lang w:eastAsia="ja-JP"/>
        </w:rPr>
        <w:t>número de tramas Ethernet descartadas por puerto de acceso pPAI-E y QoS</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Estas mediciones del tráfico se realizarán por </w:t>
      </w:r>
      <w:r w:rsidR="009D686F">
        <w:rPr>
          <w:rFonts w:ascii="Arial" w:hAnsi="Arial" w:cs="Arial"/>
          <w:lang w:val="es-ES"/>
        </w:rPr>
        <w:t>Telefónica</w:t>
      </w:r>
      <w:r>
        <w:rPr>
          <w:rFonts w:ascii="Arial" w:hAnsi="Arial" w:cs="Arial"/>
          <w:lang w:val="es-ES"/>
        </w:rPr>
        <w:t>, a nivel interno, para tareas de mantenimiento.</w:t>
      </w:r>
    </w:p>
    <w:p w:rsidR="00E02C27" w:rsidRDefault="00E02C27">
      <w:pPr>
        <w:pStyle w:val="Textoindependiente"/>
        <w:spacing w:before="60" w:after="60"/>
        <w:ind w:left="431"/>
        <w:rPr>
          <w:rFonts w:ascii="Arial" w:hAnsi="Arial" w:cs="Arial"/>
          <w:lang w:val="es-ES"/>
        </w:rPr>
      </w:pPr>
    </w:p>
    <w:p w:rsidR="00E02C27" w:rsidRDefault="00E02C27" w:rsidP="006B5381">
      <w:pPr>
        <w:pStyle w:val="EstiloTitulo2"/>
      </w:pPr>
      <w:bookmarkStart w:id="28" w:name="_Toc444784445"/>
      <w:r>
        <w:t>Control de tráfico (ascendente) por Operador.</w:t>
      </w:r>
      <w:bookmarkEnd w:id="28"/>
    </w:p>
    <w:p w:rsidR="00C72803" w:rsidRDefault="00E02C27">
      <w:pPr>
        <w:pStyle w:val="Textoindependiente"/>
        <w:spacing w:before="240" w:after="60"/>
        <w:ind w:left="431"/>
        <w:rPr>
          <w:rFonts w:ascii="Arial" w:hAnsi="Arial" w:cs="Arial"/>
          <w:lang w:val="es-ES"/>
        </w:rPr>
      </w:pPr>
      <w:r>
        <w:rPr>
          <w:rFonts w:ascii="Arial" w:hAnsi="Arial" w:cs="Arial"/>
          <w:lang w:val="es-ES"/>
        </w:rPr>
        <w:t>Tal como se ha indicado en el apartado 1.4 de este documento, en sentido ascendente el nodo de acceso (DSLAM/OLT) realizará el control de tráfico.</w:t>
      </w:r>
    </w:p>
    <w:p w:rsidR="00ED5F46" w:rsidRDefault="00ED5F46" w:rsidP="001821C5">
      <w:pPr>
        <w:ind w:left="1418" w:hanging="545"/>
        <w:rPr>
          <w:rFonts w:ascii="Arial" w:hAnsi="Arial" w:cs="Arial"/>
        </w:rPr>
      </w:pPr>
    </w:p>
    <w:p w:rsidR="00ED5F46" w:rsidRDefault="00ED5F46" w:rsidP="006B5381">
      <w:pPr>
        <w:pStyle w:val="EstiloTitulo2"/>
      </w:pPr>
      <w:bookmarkStart w:id="29" w:name="_Toc444784446"/>
      <w:r>
        <w:t xml:space="preserve">Control de tráfico para descarte opcional de exceso respecto </w:t>
      </w:r>
      <w:r w:rsidR="000274C6">
        <w:t>capacidad contratada</w:t>
      </w:r>
      <w:r>
        <w:t>.</w:t>
      </w:r>
      <w:bookmarkEnd w:id="29"/>
    </w:p>
    <w:p w:rsidR="00ED5F46" w:rsidRPr="00ED5F46" w:rsidRDefault="00ED5F46" w:rsidP="00ED5F46">
      <w:pPr>
        <w:pStyle w:val="Textoindependiente"/>
        <w:spacing w:before="240" w:after="60"/>
        <w:ind w:left="431"/>
        <w:rPr>
          <w:rFonts w:ascii="Arial" w:hAnsi="Arial" w:cs="Arial"/>
          <w:lang w:val="es-ES"/>
        </w:rPr>
      </w:pPr>
      <w:r w:rsidRPr="00ED5F46">
        <w:rPr>
          <w:rFonts w:ascii="Arial" w:hAnsi="Arial" w:cs="Arial"/>
          <w:lang w:val="es-ES"/>
        </w:rPr>
        <w:t>El operador que lo desee podrá solicitar</w:t>
      </w:r>
      <w:r w:rsidR="00AB046C">
        <w:rPr>
          <w:rFonts w:ascii="Arial" w:hAnsi="Arial" w:cs="Arial"/>
          <w:lang w:val="es-ES"/>
        </w:rPr>
        <w:t>, para cada QoS,</w:t>
      </w:r>
      <w:r w:rsidRPr="00ED5F46">
        <w:rPr>
          <w:rFonts w:ascii="Arial" w:hAnsi="Arial" w:cs="Arial"/>
          <w:lang w:val="es-ES"/>
        </w:rPr>
        <w:t xml:space="preserve"> el descarte del exceso ascen</w:t>
      </w:r>
      <w:r>
        <w:rPr>
          <w:rFonts w:ascii="Arial" w:hAnsi="Arial" w:cs="Arial"/>
          <w:lang w:val="es-ES"/>
        </w:rPr>
        <w:t>d</w:t>
      </w:r>
      <w:r w:rsidRPr="00ED5F46">
        <w:rPr>
          <w:rFonts w:ascii="Arial" w:hAnsi="Arial" w:cs="Arial"/>
          <w:lang w:val="es-ES"/>
        </w:rPr>
        <w:t>e</w:t>
      </w:r>
      <w:r>
        <w:rPr>
          <w:rFonts w:ascii="Arial" w:hAnsi="Arial" w:cs="Arial"/>
          <w:lang w:val="es-ES"/>
        </w:rPr>
        <w:t>n</w:t>
      </w:r>
      <w:r w:rsidRPr="00ED5F46">
        <w:rPr>
          <w:rFonts w:ascii="Arial" w:hAnsi="Arial" w:cs="Arial"/>
          <w:lang w:val="es-ES"/>
        </w:rPr>
        <w:t>te y descendente respecto de</w:t>
      </w:r>
      <w:r w:rsidR="000274C6">
        <w:rPr>
          <w:rFonts w:ascii="Arial" w:hAnsi="Arial" w:cs="Arial"/>
          <w:lang w:val="es-ES"/>
        </w:rPr>
        <w:t xml:space="preserve"> </w:t>
      </w:r>
      <w:r w:rsidRPr="00ED5F46">
        <w:rPr>
          <w:rFonts w:ascii="Arial" w:hAnsi="Arial" w:cs="Arial"/>
          <w:lang w:val="es-ES"/>
        </w:rPr>
        <w:t>l</w:t>
      </w:r>
      <w:r w:rsidR="000274C6">
        <w:rPr>
          <w:rFonts w:ascii="Arial" w:hAnsi="Arial" w:cs="Arial"/>
          <w:lang w:val="es-ES"/>
        </w:rPr>
        <w:t>a</w:t>
      </w:r>
      <w:r w:rsidRPr="00ED5F46">
        <w:rPr>
          <w:rFonts w:ascii="Arial" w:hAnsi="Arial" w:cs="Arial"/>
          <w:lang w:val="es-ES"/>
        </w:rPr>
        <w:t xml:space="preserve"> </w:t>
      </w:r>
      <w:r w:rsidR="000274C6">
        <w:rPr>
          <w:rFonts w:ascii="Arial" w:hAnsi="Arial" w:cs="Arial"/>
          <w:lang w:val="es-ES"/>
        </w:rPr>
        <w:t>capacidad</w:t>
      </w:r>
      <w:r w:rsidR="000274C6" w:rsidRPr="00ED5F46">
        <w:rPr>
          <w:rFonts w:ascii="Arial" w:hAnsi="Arial" w:cs="Arial"/>
          <w:lang w:val="es-ES"/>
        </w:rPr>
        <w:t xml:space="preserve"> contratad</w:t>
      </w:r>
      <w:r w:rsidR="000274C6">
        <w:rPr>
          <w:rFonts w:ascii="Arial" w:hAnsi="Arial" w:cs="Arial"/>
          <w:lang w:val="es-ES"/>
        </w:rPr>
        <w:t>a</w:t>
      </w:r>
      <w:r w:rsidR="000274C6" w:rsidRPr="00ED5F46">
        <w:rPr>
          <w:rFonts w:ascii="Arial" w:hAnsi="Arial" w:cs="Arial"/>
          <w:lang w:val="es-ES"/>
        </w:rPr>
        <w:t xml:space="preserve"> </w:t>
      </w:r>
      <w:r w:rsidRPr="00ED5F46">
        <w:rPr>
          <w:rFonts w:ascii="Arial" w:hAnsi="Arial" w:cs="Arial"/>
          <w:lang w:val="es-ES"/>
        </w:rPr>
        <w:t xml:space="preserve">según lo descrito en el apartado de facturación. </w:t>
      </w:r>
    </w:p>
    <w:p w:rsidR="00E02C27" w:rsidRDefault="00E02C27">
      <w:pPr>
        <w:ind w:left="1418" w:hanging="545"/>
        <w:rPr>
          <w:rFonts w:ascii="Arial" w:hAnsi="Arial" w:cs="Arial"/>
        </w:rPr>
      </w:pPr>
    </w:p>
    <w:p w:rsidR="00E02C27" w:rsidRDefault="00E02C27" w:rsidP="006B5381">
      <w:pPr>
        <w:pStyle w:val="EstiloTitulo2"/>
      </w:pPr>
      <w:bookmarkStart w:id="30" w:name="_Toc444784447"/>
      <w:r>
        <w:t>Interfaz física de la entrega del servicio: pPAI-E.</w:t>
      </w:r>
      <w:bookmarkEnd w:id="30"/>
    </w:p>
    <w:p w:rsidR="00E02C27" w:rsidRDefault="00E02C27" w:rsidP="006F3E19">
      <w:pPr>
        <w:pStyle w:val="Textoindependiente"/>
        <w:spacing w:before="60" w:after="60"/>
        <w:ind w:left="431"/>
        <w:rPr>
          <w:rFonts w:ascii="Arial" w:hAnsi="Arial" w:cs="Arial"/>
          <w:lang w:val="es-ES"/>
        </w:rPr>
      </w:pPr>
      <w:r>
        <w:rPr>
          <w:rFonts w:ascii="Arial" w:hAnsi="Arial" w:cs="Arial"/>
          <w:lang w:val="es-ES"/>
        </w:rPr>
        <w:t>La interconexión del equipo de Red de Operador en el PAI-E se realizará en el puerto del PAI-E (pPAI-E). Esta interconexión utilizará alguna de las interfaces siguientes:</w:t>
      </w:r>
    </w:p>
    <w:p w:rsidR="00E02C27" w:rsidRDefault="00E02C27">
      <w:pPr>
        <w:pStyle w:val="Normal1"/>
        <w:numPr>
          <w:ilvl w:val="0"/>
          <w:numId w:val="29"/>
        </w:numPr>
        <w:tabs>
          <w:tab w:val="clear" w:pos="1778"/>
          <w:tab w:val="num" w:pos="1358"/>
        </w:tabs>
        <w:spacing w:before="120"/>
        <w:ind w:left="1355" w:hanging="357"/>
        <w:rPr>
          <w:rFonts w:ascii="Arial" w:hAnsi="Arial" w:cs="Arial"/>
          <w:snapToGrid w:val="0"/>
          <w:szCs w:val="24"/>
        </w:rPr>
      </w:pPr>
      <w:r>
        <w:rPr>
          <w:rFonts w:ascii="Arial" w:hAnsi="Arial" w:cs="Arial"/>
          <w:snapToGrid w:val="0"/>
          <w:szCs w:val="24"/>
        </w:rPr>
        <w:t xml:space="preserve">1 GbE,  pudiendo utilizarse alguna de las interfaces siguientes: </w:t>
      </w:r>
    </w:p>
    <w:p w:rsidR="00E02C27" w:rsidRDefault="00E02C27">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 xml:space="preserve">1000Base-LX, según IEEE 802.3, con fibra óptica monomodo, explotada en segunda ventana (1310nm),  y con un alcance máximo aproximado de </w:t>
      </w:r>
      <w:smartTag w:uri="urn:schemas-microsoft-com:office:smarttags" w:element="metricconverter">
        <w:smartTagPr>
          <w:attr w:name="ProductID" w:val="5.000 metros"/>
        </w:smartTagPr>
        <w:r>
          <w:rPr>
            <w:rFonts w:ascii="Arial" w:hAnsi="Arial" w:cs="Arial"/>
            <w:sz w:val="24"/>
            <w:szCs w:val="24"/>
          </w:rPr>
          <w:t>5.000 metros</w:t>
        </w:r>
      </w:smartTag>
      <w:r>
        <w:rPr>
          <w:rFonts w:ascii="Arial" w:hAnsi="Arial" w:cs="Arial"/>
          <w:sz w:val="24"/>
          <w:szCs w:val="24"/>
        </w:rPr>
        <w:t>.</w:t>
      </w:r>
    </w:p>
    <w:p w:rsidR="00E02C27" w:rsidRDefault="00E02C27">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1000Base</w:t>
      </w:r>
      <w:r w:rsidR="00EB27BE">
        <w:rPr>
          <w:rFonts w:ascii="Arial" w:hAnsi="Arial" w:cs="Arial"/>
          <w:sz w:val="24"/>
          <w:szCs w:val="24"/>
        </w:rPr>
        <w:t>-</w:t>
      </w:r>
      <w:r>
        <w:rPr>
          <w:rFonts w:ascii="Arial" w:hAnsi="Arial" w:cs="Arial"/>
          <w:sz w:val="24"/>
          <w:szCs w:val="24"/>
        </w:rPr>
        <w:t xml:space="preserve">ZX, con un alcance máximo aproximado de </w:t>
      </w:r>
      <w:smartTag w:uri="urn:schemas-microsoft-com:office:smarttags" w:element="metricconverter">
        <w:smartTagPr>
          <w:attr w:name="ProductID" w:val="40 Km"/>
        </w:smartTagPr>
        <w:r>
          <w:rPr>
            <w:rFonts w:ascii="Arial" w:hAnsi="Arial" w:cs="Arial"/>
            <w:sz w:val="24"/>
            <w:szCs w:val="24"/>
          </w:rPr>
          <w:t>40 Km</w:t>
        </w:r>
      </w:smartTag>
      <w:r>
        <w:rPr>
          <w:rFonts w:ascii="Arial" w:hAnsi="Arial" w:cs="Arial"/>
          <w:sz w:val="24"/>
          <w:szCs w:val="24"/>
        </w:rPr>
        <w:t xml:space="preserve">. En el momento de redactar esta especificación (marzo 2010) </w:t>
      </w:r>
      <w:r w:rsidR="009D686F">
        <w:rPr>
          <w:rFonts w:ascii="Arial" w:hAnsi="Arial" w:cs="Arial"/>
          <w:sz w:val="24"/>
          <w:szCs w:val="24"/>
        </w:rPr>
        <w:t>Telefónica</w:t>
      </w:r>
      <w:r>
        <w:rPr>
          <w:rFonts w:ascii="Arial" w:hAnsi="Arial" w:cs="Arial"/>
          <w:sz w:val="24"/>
          <w:szCs w:val="24"/>
        </w:rPr>
        <w:t xml:space="preserve"> no puede asegurar la interoperabilidad de esta interfaz cuando enfrente a equipos de suministradores diferentes.</w:t>
      </w:r>
    </w:p>
    <w:p w:rsidR="00E02C27" w:rsidRDefault="00E02C27">
      <w:pPr>
        <w:pStyle w:val="Normal1"/>
        <w:numPr>
          <w:ilvl w:val="0"/>
          <w:numId w:val="29"/>
        </w:numPr>
        <w:tabs>
          <w:tab w:val="clear" w:pos="1778"/>
          <w:tab w:val="num" w:pos="1358"/>
        </w:tabs>
        <w:ind w:left="1358"/>
        <w:rPr>
          <w:rFonts w:ascii="Arial" w:hAnsi="Arial" w:cs="Arial"/>
          <w:snapToGrid w:val="0"/>
          <w:szCs w:val="24"/>
        </w:rPr>
      </w:pPr>
      <w:r>
        <w:rPr>
          <w:rFonts w:ascii="Arial" w:hAnsi="Arial" w:cs="Arial"/>
          <w:snapToGrid w:val="0"/>
          <w:szCs w:val="24"/>
        </w:rPr>
        <w:t>LAG de varios enlaces de 1 GbE:</w:t>
      </w:r>
    </w:p>
    <w:p w:rsidR="00E02C27" w:rsidRDefault="00E02C27">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Esta modalidad permite aumentar la capacidad de la interconexión a varios GbE.</w:t>
      </w:r>
    </w:p>
    <w:p w:rsidR="00E02C27" w:rsidRDefault="00E02C27">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 xml:space="preserve">Requiere activar protocolo estándar LACP (802.3ad) entre equipamiento de Red de Operador y equipamiento de Red de </w:t>
      </w:r>
      <w:r w:rsidR="009D686F">
        <w:rPr>
          <w:rFonts w:ascii="Arial" w:hAnsi="Arial" w:cs="Arial"/>
          <w:sz w:val="24"/>
          <w:szCs w:val="24"/>
        </w:rPr>
        <w:t>Telefónica</w:t>
      </w:r>
      <w:r>
        <w:rPr>
          <w:rFonts w:ascii="Arial" w:hAnsi="Arial" w:cs="Arial"/>
          <w:sz w:val="24"/>
          <w:szCs w:val="24"/>
        </w:rPr>
        <w:t xml:space="preserve"> que se interconectan en el pPAI.</w:t>
      </w:r>
    </w:p>
    <w:p w:rsidR="00E02C27" w:rsidRDefault="00E02C27" w:rsidP="002A3323">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 xml:space="preserve">El número máximo de enlaces de 1 GbE que se pueden agrupar se fija en </w:t>
      </w:r>
      <w:r w:rsidR="00490BCD">
        <w:rPr>
          <w:rFonts w:ascii="Arial" w:hAnsi="Arial" w:cs="Arial"/>
          <w:sz w:val="24"/>
          <w:szCs w:val="24"/>
        </w:rPr>
        <w:t>8</w:t>
      </w:r>
      <w:r>
        <w:rPr>
          <w:rFonts w:ascii="Arial" w:hAnsi="Arial" w:cs="Arial"/>
          <w:sz w:val="24"/>
          <w:szCs w:val="24"/>
        </w:rPr>
        <w:t>.</w:t>
      </w:r>
    </w:p>
    <w:p w:rsidR="00E02C27" w:rsidRDefault="00E02C27">
      <w:pPr>
        <w:pStyle w:val="Normal1"/>
        <w:numPr>
          <w:ilvl w:val="0"/>
          <w:numId w:val="29"/>
        </w:numPr>
        <w:tabs>
          <w:tab w:val="clear" w:pos="1778"/>
          <w:tab w:val="num" w:pos="1358"/>
        </w:tabs>
        <w:ind w:left="1358"/>
        <w:rPr>
          <w:rFonts w:ascii="Arial" w:hAnsi="Arial" w:cs="Arial"/>
          <w:snapToGrid w:val="0"/>
          <w:szCs w:val="24"/>
        </w:rPr>
      </w:pPr>
      <w:r>
        <w:rPr>
          <w:rFonts w:ascii="Arial" w:hAnsi="Arial" w:cs="Arial"/>
          <w:snapToGrid w:val="0"/>
          <w:szCs w:val="24"/>
        </w:rPr>
        <w:t xml:space="preserve">10 GbE,  pudiendo utilizarse alguna de las interfaces siguientes: </w:t>
      </w:r>
    </w:p>
    <w:p w:rsidR="00E02C27" w:rsidRDefault="00E02C27">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Interfaz 10GBASE - LW/LR 1310nm, alcance aprox. 10Km, para fibra monomodo.</w:t>
      </w:r>
    </w:p>
    <w:p w:rsidR="00E02C27" w:rsidRDefault="00E02C27">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lang w:val="pt-BR"/>
        </w:rPr>
      </w:pPr>
      <w:r>
        <w:rPr>
          <w:rFonts w:ascii="Arial" w:hAnsi="Arial" w:cs="Arial"/>
          <w:sz w:val="24"/>
          <w:szCs w:val="24"/>
          <w:lang w:val="pt-BR"/>
        </w:rPr>
        <w:t>Interfaz 10GBASE</w:t>
      </w:r>
      <w:r w:rsidR="00EB27BE">
        <w:rPr>
          <w:rFonts w:ascii="Arial" w:hAnsi="Arial" w:cs="Arial"/>
          <w:sz w:val="24"/>
          <w:szCs w:val="24"/>
          <w:lang w:val="pt-BR"/>
        </w:rPr>
        <w:t xml:space="preserve"> </w:t>
      </w:r>
      <w:r>
        <w:rPr>
          <w:rFonts w:ascii="Arial" w:hAnsi="Arial" w:cs="Arial"/>
          <w:sz w:val="24"/>
          <w:szCs w:val="24"/>
          <w:lang w:val="pt-BR"/>
        </w:rPr>
        <w:t>- ZW/ZR 1550nm, alcance aprox. 70Km, para fibra monomodo.</w:t>
      </w:r>
    </w:p>
    <w:p w:rsidR="00490BCD" w:rsidRDefault="00490BCD" w:rsidP="00490BCD">
      <w:pPr>
        <w:pStyle w:val="Normal1"/>
        <w:numPr>
          <w:ilvl w:val="0"/>
          <w:numId w:val="29"/>
        </w:numPr>
        <w:tabs>
          <w:tab w:val="clear" w:pos="1778"/>
          <w:tab w:val="num" w:pos="1358"/>
        </w:tabs>
        <w:ind w:left="1358"/>
        <w:rPr>
          <w:rFonts w:ascii="Arial" w:hAnsi="Arial" w:cs="Arial"/>
          <w:snapToGrid w:val="0"/>
          <w:szCs w:val="24"/>
        </w:rPr>
      </w:pPr>
      <w:r>
        <w:rPr>
          <w:rFonts w:ascii="Arial" w:hAnsi="Arial" w:cs="Arial"/>
          <w:snapToGrid w:val="0"/>
          <w:szCs w:val="24"/>
        </w:rPr>
        <w:t>LAG de varios enlaces de 10 GbE:</w:t>
      </w:r>
    </w:p>
    <w:p w:rsidR="00490BCD" w:rsidRDefault="00490BCD" w:rsidP="00490BCD">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Esta modalidad permite aumentar la capacidad de la interconexión a varios 10 GbE.</w:t>
      </w:r>
    </w:p>
    <w:p w:rsidR="00490BCD" w:rsidRDefault="00490BCD" w:rsidP="00490BCD">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Requiere activar protocolo estándar LACP (802.3ad) entre equipamiento de Red de Operador y equipamiento de Red de Telefónica que se interconectan en el pPAI.</w:t>
      </w:r>
    </w:p>
    <w:p w:rsidR="00490BCD" w:rsidRDefault="00490BCD" w:rsidP="00490BCD">
      <w:pPr>
        <w:numPr>
          <w:ilvl w:val="2"/>
          <w:numId w:val="29"/>
        </w:numPr>
        <w:tabs>
          <w:tab w:val="clear" w:pos="2727"/>
          <w:tab w:val="num" w:pos="2307"/>
          <w:tab w:val="num" w:pos="4510"/>
        </w:tabs>
        <w:autoSpaceDE w:val="0"/>
        <w:autoSpaceDN w:val="0"/>
        <w:adjustRightInd w:val="0"/>
        <w:spacing w:after="120" w:line="240" w:lineRule="atLeast"/>
        <w:ind w:left="2307"/>
        <w:rPr>
          <w:rFonts w:ascii="Arial" w:hAnsi="Arial" w:cs="Arial"/>
          <w:sz w:val="24"/>
          <w:szCs w:val="24"/>
        </w:rPr>
      </w:pPr>
      <w:r>
        <w:rPr>
          <w:rFonts w:ascii="Arial" w:hAnsi="Arial" w:cs="Arial"/>
          <w:sz w:val="24"/>
          <w:szCs w:val="24"/>
        </w:rPr>
        <w:t xml:space="preserve">El número máximo de enlaces de 10 GbE que se pueden agrupar se fija en </w:t>
      </w:r>
      <w:r w:rsidR="009C5618">
        <w:rPr>
          <w:rFonts w:ascii="Arial" w:hAnsi="Arial" w:cs="Arial"/>
          <w:sz w:val="24"/>
          <w:szCs w:val="24"/>
        </w:rPr>
        <w:t>4</w:t>
      </w:r>
      <w:r>
        <w:rPr>
          <w:rFonts w:ascii="Arial" w:hAnsi="Arial" w:cs="Arial"/>
          <w:sz w:val="24"/>
          <w:szCs w:val="24"/>
        </w:rPr>
        <w:t>.</w:t>
      </w:r>
    </w:p>
    <w:p w:rsidR="00E02C27" w:rsidRDefault="00E02C27">
      <w:pPr>
        <w:ind w:left="1418" w:hanging="545"/>
        <w:rPr>
          <w:rFonts w:ascii="Arial" w:hAnsi="Arial" w:cs="Arial"/>
          <w:lang w:val="pt-BR"/>
        </w:rPr>
      </w:pPr>
    </w:p>
    <w:p w:rsidR="00E02C27" w:rsidRDefault="00E02C27" w:rsidP="006B5381">
      <w:pPr>
        <w:pStyle w:val="EstiloTitulo2"/>
      </w:pPr>
      <w:bookmarkStart w:id="31" w:name="_Toc444784448"/>
      <w:r>
        <w:t>Redundancia.</w:t>
      </w:r>
      <w:bookmarkEnd w:id="31"/>
      <w:r w:rsidR="00C91B8E">
        <w:t xml:space="preserve"> </w:t>
      </w:r>
    </w:p>
    <w:p w:rsidR="0071318C" w:rsidRPr="00480D6B" w:rsidRDefault="0071318C" w:rsidP="003F2D8C">
      <w:pPr>
        <w:pStyle w:val="Textoindependiente"/>
        <w:spacing w:before="60" w:after="60"/>
        <w:ind w:left="431"/>
        <w:rPr>
          <w:rFonts w:ascii="Arial" w:hAnsi="Arial" w:cs="Arial"/>
          <w:b/>
          <w:u w:val="single"/>
          <w:lang w:val="es-ES"/>
        </w:rPr>
      </w:pPr>
      <w:r w:rsidRPr="00480D6B">
        <w:rPr>
          <w:rFonts w:ascii="Arial" w:hAnsi="Arial" w:cs="Arial"/>
          <w:b/>
          <w:u w:val="single"/>
          <w:lang w:val="es-ES"/>
        </w:rPr>
        <w:t>LAG Monochasis</w:t>
      </w:r>
    </w:p>
    <w:p w:rsidR="003F2D8C" w:rsidRPr="003F2D8C" w:rsidRDefault="003F2D8C" w:rsidP="003F2D8C">
      <w:pPr>
        <w:pStyle w:val="Textoindependiente"/>
        <w:spacing w:before="60" w:after="60"/>
        <w:ind w:left="431"/>
        <w:rPr>
          <w:rFonts w:ascii="Arial" w:hAnsi="Arial" w:cs="Arial"/>
          <w:lang w:val="es-ES"/>
        </w:rPr>
      </w:pPr>
      <w:r w:rsidRPr="003F2D8C">
        <w:rPr>
          <w:rFonts w:ascii="Arial" w:hAnsi="Arial" w:cs="Arial"/>
          <w:lang w:val="es-ES"/>
        </w:rPr>
        <w:t xml:space="preserve">El servicio NEBA permite al operador la posibilidad de contratación de un pPAI-E con una funcionalidad añadida consistente en asociar puertos físicos del mismo tipo de forma lógica conformando un único puerto lógico o agregación denominado LAG (Link Aggregation Group). </w:t>
      </w:r>
      <w:r w:rsidR="00BD753B">
        <w:rPr>
          <w:rFonts w:ascii="Arial" w:hAnsi="Arial" w:cs="Arial"/>
          <w:lang w:val="es-ES"/>
        </w:rPr>
        <w:t>Todos los puertos del LAG están en un mismo nodo</w:t>
      </w:r>
      <w:r w:rsidR="009E5E53">
        <w:rPr>
          <w:rFonts w:ascii="Arial" w:hAnsi="Arial" w:cs="Arial"/>
          <w:lang w:val="es-ES"/>
        </w:rPr>
        <w:t xml:space="preserve"> de Telef</w:t>
      </w:r>
      <w:r w:rsidR="007257E9">
        <w:rPr>
          <w:rFonts w:ascii="Arial" w:hAnsi="Arial" w:cs="Arial"/>
          <w:lang w:val="es-ES"/>
        </w:rPr>
        <w:t>ónica</w:t>
      </w:r>
      <w:r w:rsidR="00BD753B">
        <w:rPr>
          <w:rFonts w:ascii="Arial" w:hAnsi="Arial" w:cs="Arial"/>
          <w:lang w:val="es-ES"/>
        </w:rPr>
        <w:t>.</w:t>
      </w:r>
    </w:p>
    <w:p w:rsidR="003F2D8C" w:rsidRPr="003F2D8C" w:rsidRDefault="003F2D8C" w:rsidP="003F2D8C">
      <w:pPr>
        <w:pStyle w:val="Textoindependiente"/>
        <w:spacing w:before="60" w:after="60"/>
        <w:ind w:left="431"/>
        <w:rPr>
          <w:rFonts w:ascii="Arial" w:hAnsi="Arial" w:cs="Arial"/>
          <w:lang w:val="es-ES"/>
        </w:rPr>
      </w:pPr>
      <w:r w:rsidRPr="003F2D8C">
        <w:rPr>
          <w:rFonts w:ascii="Arial" w:hAnsi="Arial" w:cs="Arial"/>
          <w:lang w:val="es-ES"/>
        </w:rPr>
        <w:t>La funcionalidad LAG permite, por tanto, la agregación lógica de varias interfaces físicas, aumentando la capacidad de la interconexión creando una única interfaz lógica que se constituye como suma de las capacidades de las interfaces físicas que la componen. Se admiten las combinaciones siguientes:</w:t>
      </w:r>
    </w:p>
    <w:p w:rsidR="003F2D8C" w:rsidRPr="003F2D8C" w:rsidRDefault="003F2D8C" w:rsidP="003F2D8C">
      <w:pPr>
        <w:pStyle w:val="Textoindependiente"/>
        <w:spacing w:before="60" w:after="60"/>
        <w:ind w:left="431"/>
        <w:rPr>
          <w:rFonts w:ascii="Arial" w:hAnsi="Arial" w:cs="Arial"/>
          <w:lang w:val="es-ES"/>
        </w:rPr>
      </w:pPr>
      <w:r w:rsidRPr="003F2D8C">
        <w:rPr>
          <w:rFonts w:ascii="Arial" w:hAnsi="Arial" w:cs="Arial"/>
          <w:lang w:val="es-ES"/>
        </w:rPr>
        <w:t>•</w:t>
      </w:r>
      <w:r w:rsidRPr="003F2D8C">
        <w:rPr>
          <w:rFonts w:ascii="Arial" w:hAnsi="Arial" w:cs="Arial"/>
          <w:lang w:val="es-ES"/>
        </w:rPr>
        <w:tab/>
        <w:t>De 1 a 8 interfaces de 1 GbE</w:t>
      </w:r>
    </w:p>
    <w:p w:rsidR="003F2D8C" w:rsidRPr="003F2D8C" w:rsidRDefault="003F2D8C" w:rsidP="003F2D8C">
      <w:pPr>
        <w:pStyle w:val="Textoindependiente"/>
        <w:spacing w:before="60" w:after="60"/>
        <w:ind w:left="431"/>
        <w:rPr>
          <w:rFonts w:ascii="Arial" w:hAnsi="Arial" w:cs="Arial"/>
          <w:lang w:val="es-ES"/>
        </w:rPr>
      </w:pPr>
      <w:r>
        <w:rPr>
          <w:rFonts w:ascii="Arial" w:hAnsi="Arial" w:cs="Arial"/>
          <w:lang w:val="es-ES"/>
        </w:rPr>
        <w:t>•</w:t>
      </w:r>
      <w:r>
        <w:rPr>
          <w:rFonts w:ascii="Arial" w:hAnsi="Arial" w:cs="Arial"/>
          <w:lang w:val="es-ES"/>
        </w:rPr>
        <w:tab/>
        <w:t xml:space="preserve">De 1 a 4 </w:t>
      </w:r>
      <w:r w:rsidRPr="003F2D8C">
        <w:rPr>
          <w:rFonts w:ascii="Arial" w:hAnsi="Arial" w:cs="Arial"/>
          <w:lang w:val="es-ES"/>
        </w:rPr>
        <w:t xml:space="preserve">interfaces 10 GbE </w:t>
      </w:r>
    </w:p>
    <w:p w:rsidR="003F2D8C" w:rsidRDefault="003F2D8C" w:rsidP="003F2D8C">
      <w:pPr>
        <w:pStyle w:val="Textoindependiente"/>
        <w:spacing w:before="60" w:after="60"/>
        <w:ind w:left="431"/>
        <w:rPr>
          <w:rFonts w:ascii="Arial" w:hAnsi="Arial" w:cs="Arial"/>
          <w:lang w:val="es-ES"/>
        </w:rPr>
      </w:pPr>
      <w:r w:rsidRPr="003F2D8C">
        <w:rPr>
          <w:rFonts w:ascii="Arial" w:hAnsi="Arial" w:cs="Arial"/>
          <w:lang w:val="es-ES"/>
        </w:rPr>
        <w:t>El LAG requiere activar el protocolo estándar LACP (802.3ad) entre el equipamiento de red del Operador y el equipamiento de red de Telefónica interconectados en el pPAI-E con LAG.</w:t>
      </w:r>
    </w:p>
    <w:p w:rsidR="0071318C" w:rsidRPr="00711F6C" w:rsidRDefault="0071318C" w:rsidP="00711F6C">
      <w:pPr>
        <w:pStyle w:val="Textoindependiente"/>
        <w:spacing w:before="60" w:after="60"/>
        <w:ind w:left="431"/>
        <w:rPr>
          <w:rFonts w:ascii="Arial" w:hAnsi="Arial"/>
          <w:b/>
          <w:lang w:val="es-ES"/>
        </w:rPr>
      </w:pPr>
    </w:p>
    <w:p w:rsidR="0071318C" w:rsidRPr="00480D6B" w:rsidRDefault="0071318C" w:rsidP="0071318C">
      <w:pPr>
        <w:pStyle w:val="Textoindependiente"/>
        <w:spacing w:before="60" w:after="60"/>
        <w:ind w:left="431"/>
        <w:rPr>
          <w:rFonts w:ascii="Arial" w:hAnsi="Arial" w:cs="Arial"/>
          <w:b/>
          <w:u w:val="single"/>
          <w:lang w:val="es-ES"/>
        </w:rPr>
      </w:pPr>
      <w:r w:rsidRPr="00480D6B">
        <w:rPr>
          <w:rFonts w:ascii="Arial" w:hAnsi="Arial" w:cs="Arial"/>
          <w:b/>
          <w:u w:val="single"/>
          <w:lang w:val="es-ES"/>
        </w:rPr>
        <w:t>LAG Multichasis</w:t>
      </w:r>
    </w:p>
    <w:p w:rsidR="000E6E31" w:rsidRDefault="00AA6FE8" w:rsidP="00480D6B">
      <w:pPr>
        <w:pStyle w:val="Textoindependiente"/>
        <w:spacing w:before="60" w:after="60"/>
        <w:ind w:left="431"/>
        <w:rPr>
          <w:rFonts w:ascii="Arial" w:hAnsi="Arial" w:cs="Arial"/>
          <w:lang w:val="es-ES"/>
        </w:rPr>
      </w:pPr>
      <w:r>
        <w:rPr>
          <w:rFonts w:ascii="Arial" w:hAnsi="Arial" w:cs="Arial"/>
          <w:lang w:val="es-ES"/>
        </w:rPr>
        <w:t>E</w:t>
      </w:r>
      <w:r w:rsidR="000E6E31">
        <w:rPr>
          <w:rFonts w:ascii="Arial" w:hAnsi="Arial" w:cs="Arial"/>
          <w:lang w:val="es-ES"/>
        </w:rPr>
        <w:t xml:space="preserve">l LAG </w:t>
      </w:r>
      <w:r>
        <w:rPr>
          <w:rFonts w:ascii="Arial" w:hAnsi="Arial" w:cs="Arial"/>
          <w:lang w:val="es-ES"/>
        </w:rPr>
        <w:t xml:space="preserve">multichasis es una variante que </w:t>
      </w:r>
      <w:r w:rsidR="000E6E31">
        <w:rPr>
          <w:rFonts w:ascii="Arial" w:hAnsi="Arial" w:cs="Arial"/>
          <w:lang w:val="es-ES"/>
        </w:rPr>
        <w:t>puede hacer uso de dos nodos diferentes en el lado de Telefónica.</w:t>
      </w:r>
    </w:p>
    <w:p w:rsidR="007B1AA4" w:rsidRPr="007B1AA4" w:rsidRDefault="007B1AA4" w:rsidP="00480D6B">
      <w:pPr>
        <w:pStyle w:val="Textoindependiente"/>
        <w:spacing w:before="60" w:after="60"/>
        <w:ind w:left="431"/>
        <w:rPr>
          <w:rFonts w:ascii="Arial" w:hAnsi="Arial" w:cs="Arial"/>
          <w:lang w:val="es-ES"/>
        </w:rPr>
      </w:pPr>
      <w:r w:rsidRPr="007B1AA4">
        <w:rPr>
          <w:rFonts w:ascii="Arial" w:hAnsi="Arial" w:cs="Arial"/>
          <w:lang w:val="es-ES"/>
        </w:rPr>
        <w:t xml:space="preserve">El </w:t>
      </w:r>
      <w:r w:rsidR="005210E1" w:rsidRPr="007B1AA4">
        <w:rPr>
          <w:rFonts w:ascii="Arial" w:hAnsi="Arial" w:cs="Arial"/>
          <w:lang w:val="es-ES"/>
        </w:rPr>
        <w:t xml:space="preserve">LAG </w:t>
      </w:r>
      <w:r w:rsidRPr="007B1AA4">
        <w:rPr>
          <w:rFonts w:ascii="Arial" w:hAnsi="Arial" w:cs="Arial"/>
          <w:lang w:val="es-ES"/>
        </w:rPr>
        <w:t xml:space="preserve">multichasis (MC-LAG) es un nuevo tipo de LAG constituido por puertos instalados sobre dos chasis diferentes, aportando redundancia a nivel de equipo y posibilitando con ello, en caso de fallo de los enlaces principales, el encaminamiento del tráfico de las conexiones de usuario a través de la Red Ethernet de Telefónica de España, hacia los enlaces de respaldo, asegurando el envío de </w:t>
      </w:r>
      <w:r w:rsidR="007F0CF3">
        <w:rPr>
          <w:rFonts w:ascii="Arial" w:hAnsi="Arial" w:cs="Arial"/>
          <w:lang w:val="es-ES"/>
        </w:rPr>
        <w:t>dicho tráfico hacia el Operador.</w:t>
      </w:r>
    </w:p>
    <w:p w:rsidR="007B1AA4" w:rsidRPr="007B1AA4" w:rsidRDefault="00E5554F" w:rsidP="00480D6B">
      <w:pPr>
        <w:pStyle w:val="Textoindependiente"/>
        <w:spacing w:before="240" w:after="60"/>
        <w:ind w:left="431"/>
        <w:jc w:val="center"/>
        <w:rPr>
          <w:rFonts w:ascii="Arial" w:hAnsi="Arial" w:cs="Arial"/>
          <w:lang w:val="es-ES"/>
        </w:rPr>
      </w:pPr>
      <w:r>
        <w:rPr>
          <w:noProof/>
          <w:lang w:val="es-ES"/>
        </w:rPr>
        <w:drawing>
          <wp:inline distT="0" distB="0" distL="0" distR="0" wp14:anchorId="1EA823B2" wp14:editId="336E20CF">
            <wp:extent cx="4991100" cy="3040380"/>
            <wp:effectExtent l="0" t="0" r="0" b="762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3040380"/>
                    </a:xfrm>
                    <a:prstGeom prst="rect">
                      <a:avLst/>
                    </a:prstGeom>
                    <a:noFill/>
                    <a:ln>
                      <a:noFill/>
                    </a:ln>
                  </pic:spPr>
                </pic:pic>
              </a:graphicData>
            </a:graphic>
          </wp:inline>
        </w:drawing>
      </w:r>
    </w:p>
    <w:p w:rsidR="007B1AA4" w:rsidRDefault="007B1AA4" w:rsidP="00480D6B">
      <w:pPr>
        <w:pStyle w:val="Textoindependiente"/>
        <w:spacing w:before="60" w:after="60"/>
        <w:ind w:left="431"/>
        <w:rPr>
          <w:rFonts w:ascii="Arial" w:hAnsi="Arial" w:cs="Arial"/>
          <w:lang w:val="es-ES"/>
        </w:rPr>
      </w:pPr>
    </w:p>
    <w:p w:rsidR="00E93835" w:rsidRPr="007B1AA4" w:rsidRDefault="00E93835" w:rsidP="00480D6B">
      <w:pPr>
        <w:pStyle w:val="Textoindependiente"/>
        <w:spacing w:before="60" w:after="60"/>
        <w:ind w:left="431"/>
        <w:rPr>
          <w:rFonts w:ascii="Arial" w:hAnsi="Arial" w:cs="Arial"/>
          <w:lang w:val="es-ES"/>
        </w:rPr>
      </w:pPr>
      <w:r>
        <w:rPr>
          <w:rFonts w:ascii="Arial" w:hAnsi="Arial" w:cs="Arial"/>
          <w:lang w:val="es-ES"/>
        </w:rPr>
        <w:t>Esta funcionalidad podrá ser implementada en futuras versiones del servicio.</w:t>
      </w:r>
    </w:p>
    <w:p w:rsidR="00E02C27" w:rsidRDefault="00E02C27"/>
    <w:p w:rsidR="00E02C27" w:rsidRDefault="00E02C27" w:rsidP="006B5381">
      <w:pPr>
        <w:pStyle w:val="EstiloTitulo2"/>
      </w:pPr>
      <w:bookmarkStart w:id="32" w:name="_Toc256073062"/>
      <w:bookmarkStart w:id="33" w:name="_Toc256164879"/>
      <w:bookmarkStart w:id="34" w:name="_Toc444784449"/>
      <w:bookmarkEnd w:id="32"/>
      <w:bookmarkEnd w:id="33"/>
      <w:r>
        <w:t>Número de puntos de entrega y distribución geográfica.</w:t>
      </w:r>
      <w:bookmarkEnd w:id="34"/>
    </w:p>
    <w:p w:rsidR="00E02C27" w:rsidRDefault="00E02C27" w:rsidP="00711F6C">
      <w:pPr>
        <w:pStyle w:val="Textoindependiente"/>
        <w:spacing w:before="60" w:after="60"/>
        <w:ind w:left="431"/>
        <w:rPr>
          <w:rFonts w:ascii="Arial" w:hAnsi="Arial" w:cs="Arial"/>
          <w:lang w:val="es-ES"/>
        </w:rPr>
      </w:pPr>
      <w:r>
        <w:rPr>
          <w:rFonts w:ascii="Arial" w:hAnsi="Arial" w:cs="Arial"/>
          <w:lang w:val="es-ES"/>
        </w:rPr>
        <w:t>El servicio NEBA incluirá un punto de entrega (PAI-E) en cada provincia. Por tanto, habrá un mínimo de 50 PAI-E.</w:t>
      </w:r>
    </w:p>
    <w:p w:rsidR="00BD139D" w:rsidRDefault="00A72378" w:rsidP="00480D6B">
      <w:pPr>
        <w:pStyle w:val="Textoindependiente"/>
        <w:spacing w:before="60" w:after="60"/>
        <w:ind w:left="431"/>
        <w:rPr>
          <w:rFonts w:ascii="Arial" w:hAnsi="Arial" w:cs="Arial"/>
          <w:lang w:val="es-ES"/>
        </w:rPr>
      </w:pPr>
      <w:r>
        <w:rPr>
          <w:rFonts w:ascii="Arial" w:hAnsi="Arial" w:cs="Arial"/>
          <w:lang w:val="es-ES"/>
        </w:rPr>
        <w:t>Bajo petición de los operadores, p</w:t>
      </w:r>
      <w:r w:rsidR="00BD139D" w:rsidRPr="000E6E31">
        <w:rPr>
          <w:rFonts w:ascii="Arial" w:hAnsi="Arial" w:cs="Arial"/>
          <w:lang w:val="es-ES"/>
        </w:rPr>
        <w:t xml:space="preserve">odrá haber en cada provincia dos centrales con PAI de NEBA. </w:t>
      </w:r>
    </w:p>
    <w:p w:rsidR="001535B0" w:rsidRDefault="00BD139D" w:rsidP="00480D6B">
      <w:pPr>
        <w:pStyle w:val="Textoindependiente"/>
        <w:spacing w:before="60" w:after="60"/>
        <w:ind w:left="431"/>
        <w:rPr>
          <w:rFonts w:ascii="Arial" w:hAnsi="Arial" w:cs="Arial"/>
          <w:lang w:val="es-ES"/>
        </w:rPr>
      </w:pPr>
      <w:r w:rsidRPr="00480D6B">
        <w:rPr>
          <w:rFonts w:ascii="Arial" w:hAnsi="Arial" w:cs="Arial"/>
          <w:lang w:val="es-ES"/>
        </w:rPr>
        <w:t>Ante una solicitud de un segundo PAI, Telefónic</w:t>
      </w:r>
      <w:r w:rsidR="00A72378">
        <w:rPr>
          <w:rFonts w:ascii="Arial" w:hAnsi="Arial" w:cs="Arial"/>
          <w:lang w:val="es-ES"/>
        </w:rPr>
        <w:t>a implementará este segundo PAI</w:t>
      </w:r>
      <w:r w:rsidRPr="00480D6B">
        <w:rPr>
          <w:rFonts w:ascii="Arial" w:hAnsi="Arial" w:cs="Arial"/>
          <w:lang w:val="es-ES"/>
        </w:rPr>
        <w:t xml:space="preserve"> en un plazo máximo de tres meses si la provincia contaba con un solo PAI, documentándolo en el fichero de NEON “Listado de centrales con cobertura PPAIE-LAG por sector NEBA”.</w:t>
      </w:r>
      <w:r w:rsidR="001535B0">
        <w:rPr>
          <w:rFonts w:ascii="Arial" w:hAnsi="Arial" w:cs="Arial"/>
          <w:lang w:val="es-ES"/>
        </w:rPr>
        <w:t xml:space="preserve"> </w:t>
      </w:r>
    </w:p>
    <w:p w:rsidR="00EE798B" w:rsidRPr="00EE798B" w:rsidRDefault="00645262" w:rsidP="00EE07A9">
      <w:pPr>
        <w:pStyle w:val="Textoindependiente"/>
        <w:spacing w:before="60" w:after="60"/>
        <w:ind w:left="431"/>
        <w:rPr>
          <w:rFonts w:ascii="Arial" w:hAnsi="Arial" w:cs="Arial"/>
          <w:lang w:val="es-ES"/>
        </w:rPr>
      </w:pPr>
      <w:r>
        <w:rPr>
          <w:rFonts w:ascii="Arial" w:hAnsi="Arial" w:cs="Arial"/>
          <w:lang w:val="es-ES"/>
        </w:rPr>
        <w:t>L</w:t>
      </w:r>
      <w:r w:rsidR="00EE798B">
        <w:rPr>
          <w:rFonts w:ascii="Arial" w:hAnsi="Arial" w:cs="Arial"/>
          <w:lang w:val="es-ES"/>
        </w:rPr>
        <w:t xml:space="preserve">os servicios de entrega de señal de la OBA </w:t>
      </w:r>
      <w:r>
        <w:rPr>
          <w:rFonts w:ascii="Arial" w:hAnsi="Arial" w:cs="Arial"/>
          <w:lang w:val="es-ES"/>
        </w:rPr>
        <w:t xml:space="preserve">estarán disponibles </w:t>
      </w:r>
      <w:r w:rsidR="00EE798B">
        <w:rPr>
          <w:rFonts w:ascii="Arial" w:hAnsi="Arial" w:cs="Arial"/>
          <w:lang w:val="es-ES"/>
        </w:rPr>
        <w:t xml:space="preserve">para la conexión con los PAI-E. En particular, </w:t>
      </w:r>
      <w:r w:rsidR="009D686F">
        <w:rPr>
          <w:rFonts w:ascii="Arial" w:hAnsi="Arial" w:cs="Arial"/>
          <w:lang w:val="es-ES"/>
        </w:rPr>
        <w:t>Telefónica</w:t>
      </w:r>
      <w:r w:rsidR="00EE798B" w:rsidRPr="00EE798B">
        <w:rPr>
          <w:rFonts w:ascii="Arial" w:hAnsi="Arial" w:cs="Arial"/>
          <w:lang w:val="es-ES"/>
        </w:rPr>
        <w:t xml:space="preserve"> facilitará que la conexión con los </w:t>
      </w:r>
      <w:r w:rsidR="00EE798B">
        <w:rPr>
          <w:rFonts w:ascii="Arial" w:hAnsi="Arial" w:cs="Arial"/>
          <w:lang w:val="es-ES"/>
        </w:rPr>
        <w:t>PAI-E</w:t>
      </w:r>
      <w:r w:rsidR="00EE798B" w:rsidRPr="00EE798B">
        <w:rPr>
          <w:rFonts w:ascii="Arial" w:hAnsi="Arial" w:cs="Arial"/>
          <w:lang w:val="es-ES"/>
        </w:rPr>
        <w:t xml:space="preserve"> pueda llevarse a cabo mediante infraestructuras de terceros</w:t>
      </w:r>
      <w:r w:rsidR="00EE798B">
        <w:rPr>
          <w:rFonts w:ascii="Arial" w:hAnsi="Arial" w:cs="Arial"/>
          <w:lang w:val="es-ES"/>
        </w:rPr>
        <w:t xml:space="preserve">. </w:t>
      </w:r>
      <w:r w:rsidR="009D686F">
        <w:rPr>
          <w:rFonts w:ascii="Arial" w:hAnsi="Arial" w:cs="Arial"/>
          <w:lang w:val="es-ES"/>
        </w:rPr>
        <w:t>Telefónica</w:t>
      </w:r>
      <w:r w:rsidR="00EE798B">
        <w:rPr>
          <w:rFonts w:ascii="Arial" w:hAnsi="Arial" w:cs="Arial"/>
          <w:lang w:val="es-ES"/>
        </w:rPr>
        <w:t xml:space="preserve"> ofrecerá </w:t>
      </w:r>
      <w:r w:rsidR="009D686F">
        <w:rPr>
          <w:rFonts w:ascii="Arial" w:hAnsi="Arial" w:cs="Arial"/>
          <w:lang w:val="es-ES"/>
        </w:rPr>
        <w:t>asimismo el transporte</w:t>
      </w:r>
      <w:r w:rsidR="00EE798B" w:rsidRPr="00EE798B">
        <w:rPr>
          <w:rFonts w:ascii="Arial" w:hAnsi="Arial" w:cs="Arial"/>
          <w:lang w:val="es-ES"/>
        </w:rPr>
        <w:t xml:space="preserve"> interprovincial </w:t>
      </w:r>
      <w:r w:rsidR="009D686F">
        <w:rPr>
          <w:rFonts w:ascii="Arial" w:hAnsi="Arial" w:cs="Arial"/>
          <w:lang w:val="es-ES"/>
        </w:rPr>
        <w:t xml:space="preserve">de la señal </w:t>
      </w:r>
      <w:r w:rsidR="00EE798B" w:rsidRPr="00EE798B">
        <w:rPr>
          <w:rFonts w:ascii="Arial" w:hAnsi="Arial" w:cs="Arial"/>
          <w:lang w:val="es-ES"/>
        </w:rPr>
        <w:t>para los operadores interesados.</w:t>
      </w:r>
    </w:p>
    <w:p w:rsidR="00E02C27" w:rsidRDefault="00BB6CE3" w:rsidP="00955511">
      <w:pPr>
        <w:pStyle w:val="Textoindependiente"/>
        <w:spacing w:before="60" w:after="60"/>
        <w:ind w:left="431"/>
        <w:rPr>
          <w:rFonts w:ascii="Arial" w:hAnsi="Arial" w:cs="Arial"/>
          <w:lang w:val="es-ES"/>
        </w:rPr>
      </w:pPr>
      <w:r>
        <w:rPr>
          <w:rFonts w:ascii="Arial" w:hAnsi="Arial" w:cs="Arial"/>
          <w:lang w:val="es-ES"/>
        </w:rPr>
        <w:t>Se</w:t>
      </w:r>
      <w:r w:rsidR="001451D8" w:rsidRPr="001451D8">
        <w:rPr>
          <w:rFonts w:ascii="Arial" w:hAnsi="Arial" w:cs="Arial"/>
          <w:lang w:val="es-ES"/>
        </w:rPr>
        <w:t xml:space="preserve"> podrá </w:t>
      </w:r>
      <w:r w:rsidR="001821C5">
        <w:rPr>
          <w:rFonts w:ascii="Arial" w:hAnsi="Arial" w:cs="Arial"/>
          <w:lang w:val="es-ES"/>
        </w:rPr>
        <w:t xml:space="preserve">acordar </w:t>
      </w:r>
      <w:r w:rsidR="000A06FE">
        <w:rPr>
          <w:rFonts w:ascii="Arial" w:hAnsi="Arial" w:cs="Arial"/>
          <w:lang w:val="es-ES"/>
        </w:rPr>
        <w:t xml:space="preserve">entre operadores </w:t>
      </w:r>
      <w:r w:rsidR="001451D8" w:rsidRPr="001451D8">
        <w:rPr>
          <w:rFonts w:ascii="Arial" w:hAnsi="Arial" w:cs="Arial"/>
          <w:lang w:val="es-ES"/>
        </w:rPr>
        <w:t xml:space="preserve">la compartición de </w:t>
      </w:r>
      <w:r>
        <w:rPr>
          <w:rFonts w:ascii="Arial" w:hAnsi="Arial" w:cs="Arial"/>
          <w:lang w:val="es-ES"/>
        </w:rPr>
        <w:t>PAI-E o infraestructuras de transporte</w:t>
      </w:r>
      <w:r w:rsidR="000A06FE">
        <w:rPr>
          <w:rFonts w:ascii="Arial" w:hAnsi="Arial" w:cs="Arial"/>
          <w:lang w:val="es-ES"/>
        </w:rPr>
        <w:t xml:space="preserve"> sin</w:t>
      </w:r>
      <w:r>
        <w:rPr>
          <w:rFonts w:ascii="Arial" w:hAnsi="Arial" w:cs="Arial"/>
          <w:lang w:val="es-ES"/>
        </w:rPr>
        <w:t xml:space="preserve"> </w:t>
      </w:r>
      <w:r w:rsidR="001451D8" w:rsidRPr="001451D8">
        <w:rPr>
          <w:rFonts w:ascii="Arial" w:hAnsi="Arial" w:cs="Arial"/>
          <w:lang w:val="es-ES"/>
        </w:rPr>
        <w:t xml:space="preserve">autorización previa de </w:t>
      </w:r>
      <w:r>
        <w:rPr>
          <w:rFonts w:ascii="Arial" w:hAnsi="Arial" w:cs="Arial"/>
          <w:lang w:val="es-ES"/>
        </w:rPr>
        <w:t>Telefónica</w:t>
      </w:r>
      <w:r w:rsidR="001451D8" w:rsidRPr="001451D8">
        <w:rPr>
          <w:rFonts w:ascii="Arial" w:hAnsi="Arial" w:cs="Arial"/>
          <w:lang w:val="es-ES"/>
        </w:rPr>
        <w:t>.</w:t>
      </w:r>
      <w:r w:rsidR="001451D8" w:rsidRPr="001451D8" w:rsidDel="008618AB">
        <w:rPr>
          <w:rFonts w:ascii="Arial" w:hAnsi="Arial" w:cs="Arial"/>
          <w:lang w:val="es-ES"/>
        </w:rPr>
        <w:t xml:space="preserve"> </w:t>
      </w:r>
    </w:p>
    <w:p w:rsidR="00E02C27" w:rsidRDefault="00E02C27" w:rsidP="001821C5">
      <w:pPr>
        <w:rPr>
          <w:rFonts w:ascii="Arial" w:hAnsi="Arial" w:cs="Arial"/>
        </w:rPr>
      </w:pPr>
    </w:p>
    <w:p w:rsidR="00E02C27" w:rsidRDefault="00E02C27" w:rsidP="006B5381">
      <w:pPr>
        <w:pStyle w:val="EstiloTitulo2"/>
      </w:pPr>
      <w:bookmarkStart w:id="35" w:name="_Toc256073064"/>
      <w:bookmarkStart w:id="36" w:name="_Toc256164881"/>
      <w:bookmarkStart w:id="37" w:name="_Toc444784450"/>
      <w:bookmarkEnd w:id="35"/>
      <w:bookmarkEnd w:id="36"/>
      <w:r>
        <w:t>Mecanismos de verificación de la Calidad</w:t>
      </w:r>
      <w:bookmarkEnd w:id="37"/>
      <w:r>
        <w:t xml:space="preserve"> </w:t>
      </w:r>
    </w:p>
    <w:p w:rsidR="00E02C27" w:rsidRDefault="00E02C27" w:rsidP="000A06FE">
      <w:pPr>
        <w:pStyle w:val="Textoindependiente"/>
        <w:spacing w:before="60" w:after="60"/>
        <w:ind w:left="431"/>
        <w:rPr>
          <w:rFonts w:ascii="Arial" w:hAnsi="Arial" w:cs="Arial"/>
          <w:lang w:val="es-ES"/>
        </w:rPr>
      </w:pPr>
      <w:r>
        <w:rPr>
          <w:rFonts w:ascii="Arial" w:hAnsi="Arial" w:cs="Arial"/>
          <w:lang w:val="es-ES"/>
        </w:rPr>
        <w:t xml:space="preserve">Se establecerá un mecanismo de recogida de la calidad de red y medición de la misma, así como un procedimiento que permita a los </w:t>
      </w:r>
      <w:r w:rsidR="00A41886">
        <w:rPr>
          <w:rFonts w:ascii="Arial" w:hAnsi="Arial" w:cs="Arial"/>
          <w:lang w:val="es-ES"/>
        </w:rPr>
        <w:t>operadores</w:t>
      </w:r>
      <w:r>
        <w:rPr>
          <w:rFonts w:ascii="Arial" w:hAnsi="Arial" w:cs="Arial"/>
          <w:lang w:val="es-ES"/>
        </w:rPr>
        <w:t xml:space="preserve"> verificar el nivel de cumplimiento de los niveles de servicio. Véase el apartado </w:t>
      </w:r>
      <w:r w:rsidR="001D7B95">
        <w:rPr>
          <w:rFonts w:ascii="Arial" w:hAnsi="Arial" w:cs="Arial"/>
          <w:lang w:val="es-ES"/>
        </w:rPr>
        <w:t>7.3</w:t>
      </w:r>
      <w:r>
        <w:rPr>
          <w:rFonts w:ascii="Arial" w:hAnsi="Arial" w:cs="Arial"/>
          <w:lang w:val="es-ES"/>
        </w:rPr>
        <w:t xml:space="preserve"> de este documento.</w:t>
      </w:r>
    </w:p>
    <w:p w:rsidR="00E54558" w:rsidRDefault="00E54558" w:rsidP="000A06FE">
      <w:pPr>
        <w:pStyle w:val="Textoindependiente"/>
        <w:spacing w:before="60" w:after="60"/>
        <w:ind w:left="431"/>
        <w:rPr>
          <w:rFonts w:ascii="Arial" w:hAnsi="Arial" w:cs="Arial"/>
          <w:lang w:val="es-ES"/>
        </w:rPr>
      </w:pPr>
    </w:p>
    <w:p w:rsidR="00E54558" w:rsidRPr="00711F6C" w:rsidRDefault="00E54558" w:rsidP="000A06FE">
      <w:pPr>
        <w:pStyle w:val="Textoindependiente"/>
        <w:spacing w:before="60" w:after="60"/>
        <w:ind w:left="431"/>
        <w:rPr>
          <w:rFonts w:ascii="Arial" w:hAnsi="Arial" w:cs="Arial"/>
        </w:rPr>
      </w:pPr>
    </w:p>
    <w:p w:rsidR="00E02C27" w:rsidRDefault="00E02C27">
      <w:pPr>
        <w:pStyle w:val="Textoindependiente"/>
        <w:spacing w:before="60" w:after="60"/>
        <w:ind w:left="851"/>
        <w:rPr>
          <w:rFonts w:ascii="Arial" w:hAnsi="Arial" w:cs="Arial"/>
          <w:lang w:val="es-ES"/>
        </w:rPr>
      </w:pPr>
    </w:p>
    <w:p w:rsidR="00E02C27" w:rsidRDefault="00E02C27">
      <w:pPr>
        <w:pStyle w:val="EstiloTtulo1"/>
      </w:pPr>
      <w:bookmarkStart w:id="38" w:name="_Toc444784451"/>
      <w:r>
        <w:t>PROCESOS COMERCIALES</w:t>
      </w:r>
      <w:bookmarkEnd w:id="38"/>
    </w:p>
    <w:p w:rsidR="00E02C27" w:rsidRDefault="00E02C27">
      <w:pPr>
        <w:ind w:left="1418" w:hanging="545"/>
        <w:rPr>
          <w:rFonts w:ascii="Arial" w:hAnsi="Arial" w:cs="Arial"/>
          <w:sz w:val="24"/>
          <w:szCs w:val="24"/>
        </w:rPr>
      </w:pPr>
    </w:p>
    <w:p w:rsidR="00E02C27" w:rsidRDefault="00E02C27" w:rsidP="006B5381">
      <w:pPr>
        <w:pStyle w:val="EstiloTitulo2"/>
      </w:pPr>
      <w:bookmarkStart w:id="39" w:name="_Toc444784452"/>
      <w:r>
        <w:t>Canal con el Operador y Consultas.</w:t>
      </w:r>
      <w:bookmarkEnd w:id="39"/>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En los apartados 3 y 4 del documento </w:t>
      </w:r>
      <w:r>
        <w:rPr>
          <w:rFonts w:ascii="Arial" w:hAnsi="Arial" w:cs="Arial"/>
          <w:i/>
          <w:lang w:val="es-ES"/>
        </w:rPr>
        <w:t>Transformación de los sistemas de Operadores en la OBA (NEON</w:t>
      </w:r>
      <w:r>
        <w:rPr>
          <w:rFonts w:ascii="Arial" w:hAnsi="Arial" w:cs="Arial"/>
          <w:lang w:val="es-ES"/>
        </w:rPr>
        <w:t>) en su versión adoptada de 2 de diciembre de 2009</w:t>
      </w:r>
      <w:r>
        <w:rPr>
          <w:rFonts w:cs="Arial"/>
          <w:szCs w:val="24"/>
          <w:lang w:val="es-ES"/>
        </w:rPr>
        <w:t xml:space="preserve">, </w:t>
      </w:r>
      <w:r>
        <w:rPr>
          <w:rFonts w:ascii="Arial" w:hAnsi="Arial" w:cs="Arial"/>
          <w:i/>
          <w:lang w:val="es-ES"/>
        </w:rPr>
        <w:t xml:space="preserve"> </w:t>
      </w:r>
      <w:r>
        <w:rPr>
          <w:rFonts w:ascii="Arial" w:hAnsi="Arial" w:cs="Arial"/>
          <w:lang w:val="es-ES"/>
        </w:rPr>
        <w:t xml:space="preserve">se detalla tanto el canal de comunicación empleado entre los </w:t>
      </w:r>
      <w:r w:rsidR="00A41886">
        <w:rPr>
          <w:rFonts w:ascii="Arial" w:hAnsi="Arial" w:cs="Arial"/>
          <w:lang w:val="es-ES"/>
        </w:rPr>
        <w:t>operadores</w:t>
      </w:r>
      <w:r>
        <w:rPr>
          <w:rFonts w:ascii="Arial" w:hAnsi="Arial" w:cs="Arial"/>
          <w:lang w:val="es-ES"/>
        </w:rPr>
        <w:t xml:space="preserve"> y Telefónica como la operativa de consultas en el canal.</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Los aspectos de detalle de las consultas y su alcance es el acordado de conformidad con dicho documento. No obstante, debe señalarse que los campos que se incluyen en dicho documento no son exhaustivos ni definitivos. Su aplicación definitiva se establecerá una vez sean definidos íntegramente y catalogados los servicios asociados al NEBA. </w:t>
      </w:r>
    </w:p>
    <w:p w:rsidR="00E02C27" w:rsidRDefault="00E02C27">
      <w:pPr>
        <w:pStyle w:val="Textoindependiente"/>
        <w:spacing w:before="60" w:after="60"/>
        <w:ind w:left="431"/>
        <w:rPr>
          <w:rFonts w:ascii="Arial" w:hAnsi="Arial" w:cs="Arial"/>
          <w:lang w:val="es-ES"/>
        </w:rPr>
      </w:pPr>
      <w:r>
        <w:rPr>
          <w:rFonts w:ascii="Arial" w:hAnsi="Arial" w:cs="Arial"/>
          <w:lang w:val="es-ES"/>
        </w:rPr>
        <w:t>El nuevo enfoque del canal de comunicación entre Operador y Telefónica implica que el operador irá recibiendo detallada y cronológicamente mediante las comunicaciones realizadas por el correspondiente web service (WS) toda la información asociada a cada transacción. Por tanto, las consultas facilitan información que el operador ha ido recibiendo mediante el correspondiente WS para cada transacción, que habrá integrado en sus propios sistemas de información asociados al negocio y su operativa.</w:t>
      </w:r>
    </w:p>
    <w:p w:rsidR="00E02C27" w:rsidRDefault="00E02C27">
      <w:pPr>
        <w:pStyle w:val="Textoindependiente"/>
        <w:spacing w:before="60" w:after="60"/>
        <w:ind w:left="431"/>
        <w:rPr>
          <w:rFonts w:ascii="Arial" w:hAnsi="Arial" w:cs="Arial"/>
          <w:lang w:val="es-ES"/>
        </w:rPr>
      </w:pPr>
      <w:r>
        <w:rPr>
          <w:rFonts w:ascii="Arial" w:hAnsi="Arial" w:cs="Arial"/>
          <w:lang w:val="es-ES"/>
        </w:rPr>
        <w:t>Tal como se recoge en el documento de referencia, las consultas serán de dos tipos: unitarias y masivas.</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La respuesta a una consulta unitaria recoge </w:t>
      </w:r>
      <w:r>
        <w:rPr>
          <w:rFonts w:ascii="Arial" w:hAnsi="Arial" w:cs="Arial"/>
          <w:szCs w:val="24"/>
        </w:rPr>
        <w:t xml:space="preserve">el detalle completo de la solicitud consultada, ya sea un pedido, reclamación o avería. Tendrán como único criterio de consulta y búsqueda principal el número de referencia de la solicitud proporcionado por Telefónica que es el único criterio que asegura que se devuelve un único registro (con sus campos asociados) como resultado de la consulta. </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La respuesta a una consulta masiva recoge información que permite a los </w:t>
      </w:r>
      <w:r w:rsidR="00A41886">
        <w:rPr>
          <w:rFonts w:ascii="Arial" w:hAnsi="Arial" w:cs="Arial"/>
          <w:lang w:val="es-ES"/>
        </w:rPr>
        <w:t>operadores</w:t>
      </w:r>
      <w:r>
        <w:rPr>
          <w:rFonts w:ascii="Arial" w:hAnsi="Arial" w:cs="Arial"/>
          <w:lang w:val="es-ES"/>
        </w:rPr>
        <w:t xml:space="preserve"> cotejar inconsistencias de su repositorio para el seguimiento del ciclo de vida de las solicitudes, así como realizar consultas que ofrezcan información de su interés. </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El resultado de la consulta masiva tendrá un mecanismo de paginación que permita obtener toda la información resultante de la consulta mediante invocaciones sucesivas. Los </w:t>
      </w:r>
      <w:r>
        <w:rPr>
          <w:rFonts w:ascii="Arial" w:hAnsi="Arial" w:cs="Arial"/>
        </w:rPr>
        <w:t xml:space="preserve">criterios de búsqueda serán función de si se desea consultar información relativa a pedidos o a reclamaciones/averías. Se utilizarán criterios de consulta que tengan un carácter general y que puedan devolver información independientemente del estado de tramitación en el que se encuentren las solicitudes. Por ejemplo, </w:t>
      </w:r>
      <w:r>
        <w:rPr>
          <w:rFonts w:ascii="Arial" w:hAnsi="Arial" w:cs="Arial"/>
          <w:szCs w:val="24"/>
        </w:rPr>
        <w:t>Tipo de Petición (es decir, Tipo de la solicitud realizada, alta, baja o modificación) + Servicio Comercial (es decir, servicio de interés para el operador) + Fecha de realización de la solicitud</w:t>
      </w:r>
      <w:r>
        <w:rPr>
          <w:rFonts w:ascii="Arial" w:hAnsi="Arial" w:cs="Arial"/>
        </w:rPr>
        <w:t>.</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Aunque la información que se proporcione en el detalle de una consulta unitaria sufra modificaciones con respecto a la propuesta inicial como consecuencia del análisis detallado del servicio, de la reingeniería de procesos y de la catalogación comercial, se estima que los datos proporcionados en las consultas masivas y los criterios de dichas consultas no sufrirán modificaciones sustanciales. </w:t>
      </w:r>
    </w:p>
    <w:p w:rsidR="00E02C27" w:rsidRDefault="009D686F">
      <w:pPr>
        <w:pStyle w:val="Textoindependiente"/>
        <w:spacing w:before="60" w:after="60"/>
        <w:ind w:left="431"/>
        <w:rPr>
          <w:rFonts w:ascii="Arial" w:hAnsi="Arial" w:cs="Arial"/>
          <w:lang w:val="es-ES"/>
        </w:rPr>
      </w:pPr>
      <w:r>
        <w:rPr>
          <w:rFonts w:ascii="Arial" w:hAnsi="Arial" w:cs="Arial"/>
          <w:lang w:val="es-ES"/>
        </w:rPr>
        <w:t>Telefónica</w:t>
      </w:r>
      <w:r w:rsidR="00E02C27">
        <w:rPr>
          <w:rFonts w:ascii="Arial" w:hAnsi="Arial" w:cs="Arial"/>
          <w:lang w:val="es-ES"/>
        </w:rPr>
        <w:t xml:space="preserve"> arbitrará un procedimiento ad-hoc para proporcionar, en caso de necesidad del operador, ya sea por problemas en sus propios sistemas de información o por otro motivo, copia de la información asociada a las transacciones del operador durante un plazo dado. </w:t>
      </w:r>
    </w:p>
    <w:p w:rsidR="00E02C27" w:rsidRDefault="00E02C27">
      <w:pPr>
        <w:pStyle w:val="Textoindependiente"/>
        <w:spacing w:before="60" w:after="60"/>
        <w:ind w:left="431"/>
        <w:rPr>
          <w:rFonts w:ascii="Arial" w:hAnsi="Arial" w:cs="Arial"/>
          <w:lang w:val="es-ES"/>
        </w:rPr>
      </w:pPr>
    </w:p>
    <w:p w:rsidR="00E02C27" w:rsidRDefault="00E02C27" w:rsidP="006B5381">
      <w:pPr>
        <w:pStyle w:val="EstiloTitulo2"/>
      </w:pPr>
      <w:bookmarkStart w:id="40" w:name="_Toc256073068"/>
      <w:bookmarkStart w:id="41" w:name="_Toc256164885"/>
      <w:bookmarkStart w:id="42" w:name="_Toc444784453"/>
      <w:bookmarkEnd w:id="40"/>
      <w:bookmarkEnd w:id="41"/>
      <w:r>
        <w:t>Compatibilidades, incompatibilidades y dependencias del servicio y/o modalidades</w:t>
      </w:r>
      <w:bookmarkEnd w:id="42"/>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El servicio NEBA tendrá las mismas incompatibilidades técnicas que las que actualmente existen en relación con los servicios indirectos. </w:t>
      </w:r>
    </w:p>
    <w:p w:rsidR="00E02C27" w:rsidRDefault="00E02C27">
      <w:pPr>
        <w:pStyle w:val="Textoindependiente"/>
        <w:spacing w:before="60" w:after="60"/>
        <w:ind w:left="431"/>
        <w:rPr>
          <w:rFonts w:ascii="Arial" w:hAnsi="Arial" w:cs="Arial"/>
          <w:lang w:val="es-ES"/>
        </w:rPr>
      </w:pPr>
      <w:r>
        <w:rPr>
          <w:rFonts w:ascii="Arial" w:hAnsi="Arial" w:cs="Arial"/>
          <w:lang w:val="es-ES"/>
        </w:rPr>
        <w:t>En un acceso se podrá ofrecer el servicio de acceso indirecto NEBA a un único operador salvo en el caso de los accesos xDSL, en los que el operador titular del NEBA podrá compartir el acceso con otro operador que opere el servicio de voz STB sobre el mismo, ya sea mediante servicio mayorista (AMLT), preasignación o servicio minorista de Telefónica</w:t>
      </w:r>
    </w:p>
    <w:p w:rsidR="00E02C27" w:rsidRDefault="00E02C27" w:rsidP="008C5133">
      <w:pPr>
        <w:pStyle w:val="Textoindependiente"/>
        <w:spacing w:before="60" w:after="60"/>
        <w:ind w:left="426"/>
        <w:rPr>
          <w:rFonts w:ascii="Arial" w:hAnsi="Arial" w:cs="Arial"/>
          <w:lang w:val="es-ES"/>
        </w:rPr>
      </w:pPr>
      <w:r>
        <w:rPr>
          <w:rFonts w:ascii="Arial" w:hAnsi="Arial" w:cs="Arial"/>
          <w:lang w:val="es-ES"/>
        </w:rPr>
        <w:t>En general, para el servicio NEBA sobre accesos de cobre:</w:t>
      </w:r>
    </w:p>
    <w:p w:rsidR="00E02C27" w:rsidRDefault="00E02C27">
      <w:pPr>
        <w:pStyle w:val="Textoindependiente"/>
        <w:numPr>
          <w:ilvl w:val="0"/>
          <w:numId w:val="66"/>
        </w:numPr>
        <w:spacing w:before="60" w:after="60"/>
        <w:rPr>
          <w:rFonts w:ascii="Arial" w:hAnsi="Arial" w:cs="Arial"/>
          <w:lang w:val="es-ES"/>
        </w:rPr>
      </w:pPr>
      <w:r>
        <w:rPr>
          <w:rFonts w:ascii="Arial" w:hAnsi="Arial" w:cs="Arial"/>
          <w:lang w:val="es-ES"/>
        </w:rPr>
        <w:t>se mantienen las condiciones actuales en relación con el servicio telefónico básico (STB), es decir, no se podrá dar el alta del STB sobre accesos con servicio de banda ancha sin STB</w:t>
      </w:r>
    </w:p>
    <w:p w:rsidR="00E02C27" w:rsidRDefault="00E02C27">
      <w:pPr>
        <w:pStyle w:val="Textoindependiente"/>
        <w:numPr>
          <w:ilvl w:val="0"/>
          <w:numId w:val="66"/>
        </w:numPr>
        <w:spacing w:before="60" w:after="60"/>
        <w:rPr>
          <w:rFonts w:ascii="Arial" w:hAnsi="Arial" w:cs="Arial"/>
          <w:lang w:val="es-ES"/>
        </w:rPr>
      </w:pPr>
      <w:r>
        <w:rPr>
          <w:rFonts w:ascii="Arial" w:hAnsi="Arial" w:cs="Arial"/>
          <w:lang w:val="es-ES"/>
        </w:rPr>
        <w:t xml:space="preserve">la baja de la STB solicitada por el cliente final conlleva la baja de cualquier otro servicio sobre el acceso (mayorista o minorista). </w:t>
      </w:r>
    </w:p>
    <w:p w:rsidR="00E02C27" w:rsidRDefault="00E02C27">
      <w:pPr>
        <w:pStyle w:val="Textoindependiente"/>
        <w:spacing w:before="60" w:after="60"/>
        <w:ind w:left="431"/>
        <w:rPr>
          <w:rFonts w:ascii="Arial" w:hAnsi="Arial" w:cs="Arial"/>
          <w:lang w:val="es-ES"/>
        </w:rPr>
      </w:pPr>
      <w:r>
        <w:rPr>
          <w:rFonts w:ascii="Arial" w:hAnsi="Arial" w:cs="Arial"/>
          <w:lang w:val="es-ES"/>
        </w:rPr>
        <w:t>El servicio NEBA se podrá ver afectado por determinados movimientos sobre el servicio telefónico que coexista con el mismo. Cabe distinguir:</w:t>
      </w:r>
    </w:p>
    <w:p w:rsidR="00E02C27" w:rsidRDefault="00E02C27">
      <w:pPr>
        <w:pStyle w:val="Textoindependiente"/>
        <w:spacing w:before="60" w:after="60"/>
        <w:ind w:left="709"/>
        <w:rPr>
          <w:rFonts w:ascii="Arial" w:hAnsi="Arial" w:cs="Arial"/>
          <w:szCs w:val="24"/>
        </w:rPr>
      </w:pPr>
      <w:r>
        <w:rPr>
          <w:rFonts w:ascii="Arial" w:hAnsi="Arial" w:cs="Arial"/>
          <w:lang w:val="es-ES"/>
        </w:rPr>
        <w:t xml:space="preserve">a) </w:t>
      </w:r>
      <w:r>
        <w:rPr>
          <w:rFonts w:ascii="Arial" w:hAnsi="Arial" w:cs="Arial"/>
          <w:szCs w:val="24"/>
        </w:rPr>
        <w:t>movimientos que generan la regularización del servicio telefónico básico (STB) que coexiste en el mismo acceso que soporta al servicio NEBA pero que no tienen influencia sobre el servicio NEBA:</w:t>
      </w:r>
    </w:p>
    <w:p w:rsidR="00E02C27" w:rsidRDefault="00E02C27">
      <w:pPr>
        <w:pStyle w:val="Textoindependiente"/>
        <w:numPr>
          <w:ilvl w:val="0"/>
          <w:numId w:val="50"/>
        </w:numPr>
        <w:spacing w:before="60" w:after="60"/>
        <w:rPr>
          <w:rFonts w:ascii="Arial" w:hAnsi="Arial" w:cs="Arial"/>
          <w:szCs w:val="24"/>
          <w:lang w:val="es-ES"/>
        </w:rPr>
      </w:pPr>
      <w:r>
        <w:rPr>
          <w:rFonts w:ascii="Arial" w:hAnsi="Arial" w:cs="Arial"/>
          <w:szCs w:val="24"/>
          <w:lang w:val="es-ES"/>
        </w:rPr>
        <w:t>Cambio de número de teléfono</w:t>
      </w:r>
    </w:p>
    <w:p w:rsidR="00E02C27" w:rsidRDefault="00E02C27">
      <w:pPr>
        <w:pStyle w:val="Textoindependiente"/>
        <w:numPr>
          <w:ilvl w:val="0"/>
          <w:numId w:val="50"/>
        </w:numPr>
        <w:spacing w:before="60" w:after="60"/>
        <w:rPr>
          <w:rFonts w:ascii="Arial" w:hAnsi="Arial" w:cs="Arial"/>
          <w:szCs w:val="24"/>
          <w:lang w:val="es-ES"/>
        </w:rPr>
      </w:pPr>
      <w:r>
        <w:rPr>
          <w:rFonts w:ascii="Arial" w:hAnsi="Arial" w:cs="Arial"/>
          <w:szCs w:val="24"/>
          <w:lang w:val="es-ES"/>
        </w:rPr>
        <w:t>Cambio de información domiciliaria</w:t>
      </w:r>
    </w:p>
    <w:p w:rsidR="00E02C27" w:rsidRDefault="00E02C27">
      <w:pPr>
        <w:pStyle w:val="Textoindependiente"/>
        <w:numPr>
          <w:ilvl w:val="0"/>
          <w:numId w:val="50"/>
        </w:numPr>
        <w:spacing w:before="60" w:after="60"/>
        <w:rPr>
          <w:rFonts w:ascii="Arial" w:hAnsi="Arial" w:cs="Arial"/>
          <w:lang w:val="es-ES"/>
        </w:rPr>
      </w:pPr>
      <w:r>
        <w:rPr>
          <w:rFonts w:ascii="Arial" w:hAnsi="Arial" w:cs="Arial"/>
          <w:szCs w:val="24"/>
          <w:lang w:val="es-ES"/>
        </w:rPr>
        <w:t>Cambio de titular del STB</w:t>
      </w:r>
    </w:p>
    <w:p w:rsidR="00E02C27" w:rsidRDefault="00E02C27">
      <w:pPr>
        <w:pStyle w:val="Textoindependiente"/>
        <w:spacing w:before="60" w:after="60"/>
        <w:ind w:left="709"/>
        <w:rPr>
          <w:rFonts w:ascii="Arial" w:hAnsi="Arial" w:cs="Arial"/>
          <w:lang w:val="es-ES"/>
        </w:rPr>
      </w:pPr>
      <w:r>
        <w:rPr>
          <w:rFonts w:ascii="Arial" w:hAnsi="Arial" w:cs="Arial"/>
          <w:lang w:val="es-ES"/>
        </w:rPr>
        <w:t>b) movimientos sobre la STB que producen la baja del servicio NEBA:</w:t>
      </w:r>
    </w:p>
    <w:p w:rsidR="00E02C27" w:rsidRDefault="00E02C27">
      <w:pPr>
        <w:numPr>
          <w:ilvl w:val="0"/>
          <w:numId w:val="50"/>
        </w:numPr>
        <w:spacing w:after="120"/>
        <w:rPr>
          <w:rFonts w:ascii="Arial" w:hAnsi="Arial" w:cs="Arial"/>
          <w:sz w:val="24"/>
          <w:szCs w:val="24"/>
        </w:rPr>
      </w:pPr>
      <w:r>
        <w:rPr>
          <w:rFonts w:ascii="Arial" w:hAnsi="Arial" w:cs="Arial"/>
          <w:sz w:val="24"/>
          <w:szCs w:val="24"/>
        </w:rPr>
        <w:t>Baja del STB (a petición del cliente final)</w:t>
      </w:r>
    </w:p>
    <w:p w:rsidR="00E02C27" w:rsidRDefault="00E02C27">
      <w:pPr>
        <w:numPr>
          <w:ilvl w:val="0"/>
          <w:numId w:val="50"/>
        </w:numPr>
        <w:spacing w:after="120"/>
        <w:rPr>
          <w:rFonts w:ascii="Arial" w:hAnsi="Arial" w:cs="Arial"/>
          <w:sz w:val="24"/>
          <w:szCs w:val="24"/>
        </w:rPr>
      </w:pPr>
      <w:r>
        <w:rPr>
          <w:rFonts w:ascii="Arial" w:hAnsi="Arial" w:cs="Arial"/>
          <w:sz w:val="24"/>
          <w:szCs w:val="24"/>
        </w:rPr>
        <w:t>Portabilidad de la STB (excepto cuando el operador solicite un paso al servicio NEBA sin STB)</w:t>
      </w:r>
    </w:p>
    <w:p w:rsidR="00E02C27" w:rsidRDefault="00E02C27">
      <w:pPr>
        <w:pStyle w:val="Textoindependiente"/>
        <w:spacing w:before="60" w:after="60"/>
        <w:ind w:left="709"/>
        <w:rPr>
          <w:rFonts w:ascii="Arial" w:hAnsi="Arial" w:cs="Arial"/>
          <w:lang w:val="es-ES"/>
        </w:rPr>
      </w:pPr>
      <w:r>
        <w:rPr>
          <w:rFonts w:ascii="Arial" w:hAnsi="Arial" w:cs="Arial"/>
          <w:lang w:val="es-ES"/>
        </w:rPr>
        <w:t>c) servicios incompatibles con el servicio NEBA:</w:t>
      </w:r>
    </w:p>
    <w:p w:rsidR="00E02C27" w:rsidRDefault="00E02C27">
      <w:pPr>
        <w:numPr>
          <w:ilvl w:val="0"/>
          <w:numId w:val="51"/>
        </w:numPr>
        <w:spacing w:after="120"/>
        <w:rPr>
          <w:rFonts w:ascii="Arial" w:hAnsi="Arial" w:cs="Arial"/>
          <w:sz w:val="24"/>
          <w:szCs w:val="24"/>
        </w:rPr>
      </w:pPr>
      <w:r>
        <w:rPr>
          <w:rFonts w:ascii="Arial" w:hAnsi="Arial" w:cs="Arial"/>
          <w:sz w:val="24"/>
          <w:szCs w:val="24"/>
        </w:rPr>
        <w:t>Líneas backup de circuitos de datos (Frame Relay, IP Básico, …)</w:t>
      </w:r>
    </w:p>
    <w:p w:rsidR="00E02C27" w:rsidRDefault="00E02C27">
      <w:pPr>
        <w:numPr>
          <w:ilvl w:val="0"/>
          <w:numId w:val="51"/>
        </w:numPr>
        <w:spacing w:after="120"/>
        <w:rPr>
          <w:rFonts w:ascii="Arial" w:hAnsi="Arial" w:cs="Arial"/>
          <w:sz w:val="24"/>
          <w:szCs w:val="24"/>
        </w:rPr>
      </w:pPr>
      <w:r>
        <w:rPr>
          <w:rFonts w:ascii="Arial" w:hAnsi="Arial" w:cs="Arial"/>
          <w:sz w:val="24"/>
          <w:szCs w:val="24"/>
        </w:rPr>
        <w:t>RDSI</w:t>
      </w:r>
    </w:p>
    <w:p w:rsidR="00E02C27" w:rsidRDefault="00E02C27">
      <w:pPr>
        <w:numPr>
          <w:ilvl w:val="0"/>
          <w:numId w:val="51"/>
        </w:numPr>
        <w:spacing w:after="120"/>
        <w:rPr>
          <w:rFonts w:ascii="Arial" w:hAnsi="Arial" w:cs="Arial"/>
          <w:sz w:val="24"/>
          <w:szCs w:val="24"/>
        </w:rPr>
      </w:pPr>
      <w:r>
        <w:rPr>
          <w:rFonts w:ascii="Arial" w:hAnsi="Arial" w:cs="Arial"/>
          <w:sz w:val="24"/>
          <w:szCs w:val="24"/>
        </w:rPr>
        <w:t>Línea de Enlace analógicas y grupos de salto.</w:t>
      </w:r>
    </w:p>
    <w:p w:rsidR="00E02C27" w:rsidRDefault="00E02C27">
      <w:pPr>
        <w:numPr>
          <w:ilvl w:val="0"/>
          <w:numId w:val="51"/>
        </w:numPr>
        <w:spacing w:after="120"/>
        <w:rPr>
          <w:rFonts w:ascii="Arial" w:hAnsi="Arial" w:cs="Arial"/>
          <w:sz w:val="24"/>
          <w:szCs w:val="24"/>
        </w:rPr>
      </w:pPr>
      <w:r>
        <w:rPr>
          <w:rFonts w:ascii="Arial" w:hAnsi="Arial" w:cs="Arial"/>
          <w:sz w:val="24"/>
          <w:szCs w:val="24"/>
        </w:rPr>
        <w:t>Líneas pertenecientes a un grupo Centrex.</w:t>
      </w:r>
    </w:p>
    <w:p w:rsidR="00E02C27" w:rsidRDefault="00E02C27">
      <w:pPr>
        <w:numPr>
          <w:ilvl w:val="0"/>
          <w:numId w:val="51"/>
        </w:numPr>
        <w:spacing w:after="120"/>
        <w:rPr>
          <w:rFonts w:ascii="Arial" w:hAnsi="Arial" w:cs="Arial"/>
          <w:sz w:val="24"/>
          <w:szCs w:val="24"/>
        </w:rPr>
      </w:pPr>
      <w:r>
        <w:rPr>
          <w:rFonts w:ascii="Arial" w:hAnsi="Arial" w:cs="Arial"/>
          <w:sz w:val="24"/>
          <w:szCs w:val="24"/>
        </w:rPr>
        <w:t>MARD (Multiacceso Rural Digital)</w:t>
      </w:r>
    </w:p>
    <w:p w:rsidR="00E02C27" w:rsidRDefault="00E02C27">
      <w:pPr>
        <w:numPr>
          <w:ilvl w:val="0"/>
          <w:numId w:val="51"/>
        </w:numPr>
        <w:spacing w:after="120"/>
        <w:rPr>
          <w:rFonts w:ascii="Arial" w:hAnsi="Arial" w:cs="Arial"/>
          <w:sz w:val="24"/>
          <w:szCs w:val="24"/>
        </w:rPr>
      </w:pPr>
      <w:r>
        <w:rPr>
          <w:rFonts w:ascii="Arial" w:hAnsi="Arial" w:cs="Arial"/>
          <w:sz w:val="24"/>
          <w:szCs w:val="24"/>
        </w:rPr>
        <w:t>Extensiones de centralitas.</w:t>
      </w:r>
    </w:p>
    <w:p w:rsidR="00E02C27" w:rsidRDefault="00E02C27">
      <w:pPr>
        <w:numPr>
          <w:ilvl w:val="0"/>
          <w:numId w:val="51"/>
        </w:numPr>
        <w:spacing w:after="120"/>
        <w:rPr>
          <w:rFonts w:ascii="Arial" w:hAnsi="Arial" w:cs="Arial"/>
          <w:sz w:val="24"/>
          <w:szCs w:val="24"/>
        </w:rPr>
      </w:pPr>
      <w:r>
        <w:rPr>
          <w:rFonts w:ascii="Arial" w:hAnsi="Arial" w:cs="Arial"/>
          <w:sz w:val="24"/>
          <w:szCs w:val="24"/>
        </w:rPr>
        <w:t xml:space="preserve">Servicio REDELTA (Telealarmas y telecontrol) </w:t>
      </w:r>
    </w:p>
    <w:p w:rsidR="00E02C27" w:rsidRDefault="00E02C27">
      <w:pPr>
        <w:numPr>
          <w:ilvl w:val="0"/>
          <w:numId w:val="51"/>
        </w:numPr>
        <w:spacing w:after="120"/>
        <w:rPr>
          <w:rFonts w:ascii="Arial" w:hAnsi="Arial" w:cs="Arial"/>
          <w:sz w:val="24"/>
          <w:szCs w:val="24"/>
        </w:rPr>
      </w:pPr>
      <w:r>
        <w:rPr>
          <w:rFonts w:ascii="Arial" w:hAnsi="Arial" w:cs="Arial"/>
          <w:sz w:val="24"/>
          <w:szCs w:val="24"/>
        </w:rPr>
        <w:t>Teletarificación mediante impulsos de 12kHz</w:t>
      </w:r>
    </w:p>
    <w:p w:rsidR="00E02C27" w:rsidRDefault="00E02C27">
      <w:pPr>
        <w:numPr>
          <w:ilvl w:val="0"/>
          <w:numId w:val="51"/>
        </w:numPr>
        <w:spacing w:after="120"/>
        <w:rPr>
          <w:rFonts w:ascii="Arial" w:hAnsi="Arial" w:cs="Arial"/>
          <w:sz w:val="24"/>
          <w:szCs w:val="24"/>
        </w:rPr>
      </w:pPr>
      <w:r>
        <w:rPr>
          <w:rFonts w:ascii="Arial" w:hAnsi="Arial" w:cs="Arial"/>
          <w:sz w:val="24"/>
          <w:szCs w:val="24"/>
        </w:rPr>
        <w:t>Líneas de emergencia de líneas de enlace o de centralitas IBERCOM.</w:t>
      </w:r>
    </w:p>
    <w:p w:rsidR="00E02C27" w:rsidRDefault="00E02C27"/>
    <w:p w:rsidR="00E02C27" w:rsidRDefault="00E02C27" w:rsidP="006B5381">
      <w:pPr>
        <w:pStyle w:val="EstiloTitulo2"/>
      </w:pPr>
      <w:bookmarkStart w:id="43" w:name="_Toc444784454"/>
      <w:r>
        <w:t>Información de cobertura del servicio</w:t>
      </w:r>
      <w:bookmarkEnd w:id="43"/>
    </w:p>
    <w:p w:rsidR="00E02C27" w:rsidRDefault="00E02C27">
      <w:pPr>
        <w:pStyle w:val="Textoindependiente"/>
        <w:spacing w:before="240" w:after="60"/>
        <w:ind w:left="431"/>
        <w:rPr>
          <w:rFonts w:ascii="Arial" w:hAnsi="Arial" w:cs="Arial"/>
          <w:lang w:val="es-ES"/>
        </w:rPr>
      </w:pPr>
      <w:r>
        <w:rPr>
          <w:rFonts w:ascii="Arial" w:hAnsi="Arial" w:cs="Arial"/>
          <w:lang w:val="es-ES"/>
        </w:rPr>
        <w:t>Para la comercialización del servicio NEBA, se ofrecerá un servicio de consulta de información de cobertura mediante un Web Service. Este servicio de consulta permitirá consultar la cobertura de cobre o fibra.</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El proceso de consulta se basará en el conocimiento de alguno de los datos siguientes por el operador: </w:t>
      </w:r>
    </w:p>
    <w:p w:rsidR="00E02C27" w:rsidRDefault="00E02C27">
      <w:pPr>
        <w:numPr>
          <w:ilvl w:val="0"/>
          <w:numId w:val="43"/>
        </w:numPr>
        <w:spacing w:before="60" w:after="60"/>
        <w:rPr>
          <w:rFonts w:ascii="Arial" w:hAnsi="Arial" w:cs="Arial"/>
          <w:sz w:val="24"/>
          <w:szCs w:val="24"/>
        </w:rPr>
      </w:pPr>
      <w:r>
        <w:rPr>
          <w:rFonts w:ascii="Arial" w:hAnsi="Arial" w:cs="Arial"/>
          <w:b/>
          <w:sz w:val="24"/>
          <w:szCs w:val="24"/>
        </w:rPr>
        <w:t>Número de teléfono</w:t>
      </w:r>
      <w:r>
        <w:rPr>
          <w:rFonts w:ascii="Arial" w:hAnsi="Arial" w:cs="Arial"/>
          <w:sz w:val="24"/>
          <w:szCs w:val="24"/>
        </w:rPr>
        <w:t xml:space="preserve"> de Telefónica, </w:t>
      </w:r>
      <w:r w:rsidR="00A63429">
        <w:rPr>
          <w:rFonts w:ascii="Arial" w:hAnsi="Arial" w:cs="Arial"/>
          <w:sz w:val="24"/>
          <w:szCs w:val="24"/>
        </w:rPr>
        <w:t>o</w:t>
      </w:r>
    </w:p>
    <w:p w:rsidR="00E02C27" w:rsidRDefault="00E02C27">
      <w:pPr>
        <w:numPr>
          <w:ilvl w:val="0"/>
          <w:numId w:val="43"/>
        </w:numPr>
        <w:spacing w:before="60" w:after="60"/>
        <w:rPr>
          <w:rFonts w:ascii="Arial" w:hAnsi="Arial" w:cs="Arial"/>
          <w:sz w:val="24"/>
          <w:szCs w:val="24"/>
        </w:rPr>
      </w:pPr>
      <w:r>
        <w:rPr>
          <w:rFonts w:ascii="Arial" w:hAnsi="Arial" w:cs="Arial"/>
          <w:b/>
          <w:sz w:val="24"/>
          <w:szCs w:val="24"/>
        </w:rPr>
        <w:t>Domicilio</w:t>
      </w:r>
      <w:r>
        <w:rPr>
          <w:rFonts w:ascii="Arial" w:hAnsi="Arial" w:cs="Arial"/>
          <w:sz w:val="24"/>
          <w:szCs w:val="24"/>
        </w:rPr>
        <w:t xml:space="preserve">, identificado mediante el código GESCAL que habrá sido recuperado mediante el WS de recuperación de GESCAL a partir del conocimiento del domicilio, </w:t>
      </w:r>
      <w:r w:rsidR="00A63429">
        <w:rPr>
          <w:rFonts w:ascii="Arial" w:hAnsi="Arial" w:cs="Arial"/>
          <w:sz w:val="24"/>
          <w:szCs w:val="24"/>
        </w:rPr>
        <w:t>o</w:t>
      </w:r>
    </w:p>
    <w:p w:rsidR="00E02C27" w:rsidRDefault="00E02C27">
      <w:pPr>
        <w:numPr>
          <w:ilvl w:val="0"/>
          <w:numId w:val="43"/>
        </w:numPr>
        <w:spacing w:before="60" w:after="60"/>
        <w:rPr>
          <w:rFonts w:ascii="Arial" w:hAnsi="Arial" w:cs="Arial"/>
          <w:sz w:val="24"/>
          <w:szCs w:val="24"/>
        </w:rPr>
      </w:pPr>
      <w:r>
        <w:rPr>
          <w:rFonts w:ascii="Arial" w:hAnsi="Arial" w:cs="Arial"/>
          <w:b/>
          <w:sz w:val="24"/>
          <w:szCs w:val="24"/>
        </w:rPr>
        <w:t xml:space="preserve">Número administrativo </w:t>
      </w:r>
      <w:r>
        <w:rPr>
          <w:rFonts w:ascii="Arial" w:hAnsi="Arial" w:cs="Arial"/>
          <w:sz w:val="24"/>
          <w:szCs w:val="24"/>
        </w:rPr>
        <w:t>(para acceso Cobre)</w:t>
      </w:r>
      <w:r w:rsidR="00A855CD">
        <w:rPr>
          <w:rFonts w:ascii="Arial" w:hAnsi="Arial" w:cs="Arial"/>
          <w:sz w:val="24"/>
          <w:szCs w:val="24"/>
        </w:rPr>
        <w:t>, o IUA (para accesos FTTH)</w:t>
      </w:r>
    </w:p>
    <w:p w:rsidR="00A855CD" w:rsidRDefault="00A855CD" w:rsidP="002133B2">
      <w:pPr>
        <w:spacing w:before="60" w:after="60"/>
        <w:ind w:left="426"/>
        <w:rPr>
          <w:rFonts w:ascii="Arial" w:hAnsi="Arial" w:cs="Arial"/>
          <w:sz w:val="24"/>
          <w:szCs w:val="24"/>
        </w:rPr>
      </w:pPr>
      <w:r>
        <w:rPr>
          <w:rFonts w:ascii="Arial" w:hAnsi="Arial" w:cs="Arial"/>
          <w:sz w:val="24"/>
          <w:szCs w:val="24"/>
        </w:rPr>
        <w:t>Adicionalmente, los o</w:t>
      </w:r>
      <w:r w:rsidRPr="00A855CD">
        <w:rPr>
          <w:rFonts w:ascii="Arial" w:hAnsi="Arial" w:cs="Arial"/>
          <w:sz w:val="24"/>
          <w:szCs w:val="24"/>
        </w:rPr>
        <w:t>peradores dispondrán de un Web Service que ofrecerá la URL a través de la cual el operador podrá descargar un fichero con un listado de los edificios  en los que pueden suministrarse conexiones de fibra</w:t>
      </w:r>
      <w:r>
        <w:rPr>
          <w:rFonts w:ascii="Arial" w:hAnsi="Arial" w:cs="Arial"/>
          <w:sz w:val="24"/>
          <w:szCs w:val="24"/>
        </w:rPr>
        <w:t>.</w:t>
      </w:r>
    </w:p>
    <w:p w:rsidR="006628E8" w:rsidRDefault="006628E8" w:rsidP="006628E8">
      <w:pPr>
        <w:spacing w:before="60" w:after="60"/>
        <w:ind w:left="998" w:hanging="545"/>
        <w:rPr>
          <w:rFonts w:ascii="Arial" w:hAnsi="Arial" w:cs="Arial"/>
          <w:sz w:val="24"/>
          <w:szCs w:val="24"/>
        </w:rPr>
      </w:pPr>
      <w:r>
        <w:rPr>
          <w:rFonts w:ascii="Arial" w:hAnsi="Arial" w:cs="Arial"/>
          <w:sz w:val="24"/>
          <w:szCs w:val="24"/>
        </w:rPr>
        <w:t>Los detalles de estos Web Service están descritos en el Anexo I (Procedimientos).</w:t>
      </w:r>
    </w:p>
    <w:p w:rsidR="00E02C27" w:rsidRDefault="00E02C27" w:rsidP="00AE7BBC">
      <w:pPr>
        <w:pStyle w:val="Textoindependiente"/>
        <w:spacing w:before="60" w:after="60"/>
        <w:ind w:left="431"/>
        <w:rPr>
          <w:rFonts w:ascii="Arial" w:hAnsi="Arial" w:cs="Arial"/>
          <w:lang w:val="es-ES"/>
        </w:rPr>
      </w:pPr>
      <w:r>
        <w:rPr>
          <w:rFonts w:ascii="Arial" w:hAnsi="Arial" w:cs="Arial"/>
          <w:lang w:val="es-ES"/>
        </w:rPr>
        <w:t>En el Anexo</w:t>
      </w:r>
      <w:r w:rsidR="00AE7BBC">
        <w:rPr>
          <w:rFonts w:ascii="Arial" w:hAnsi="Arial" w:cs="Arial"/>
          <w:lang w:val="es-ES"/>
        </w:rPr>
        <w:t xml:space="preserve"> </w:t>
      </w:r>
      <w:r>
        <w:rPr>
          <w:rFonts w:ascii="Arial" w:hAnsi="Arial" w:cs="Arial"/>
          <w:lang w:val="es-ES"/>
        </w:rPr>
        <w:t xml:space="preserve">1 de este documento se incluye el detalle de los procedimientos actuales habilitados para la obtención del código GESCAL de domicilios y la consulta actual de la </w:t>
      </w:r>
      <w:bookmarkStart w:id="44" w:name="_Toc248909577"/>
      <w:r>
        <w:rPr>
          <w:rFonts w:ascii="Arial" w:hAnsi="Arial" w:cs="Arial"/>
          <w:lang w:val="es-ES"/>
        </w:rPr>
        <w:t>cobertura de acceso indirecto xDSL</w:t>
      </w:r>
      <w:bookmarkEnd w:id="44"/>
      <w:r>
        <w:rPr>
          <w:rFonts w:ascii="Arial" w:hAnsi="Arial" w:cs="Arial"/>
          <w:lang w:val="es-ES"/>
        </w:rPr>
        <w:t>.</w:t>
      </w:r>
    </w:p>
    <w:p w:rsidR="00E02C27" w:rsidRDefault="00E02C27" w:rsidP="00AF32C8">
      <w:pPr>
        <w:pStyle w:val="EstiloTtulo3"/>
      </w:pPr>
      <w:bookmarkStart w:id="45" w:name="_Toc256073071"/>
      <w:bookmarkStart w:id="46" w:name="_Toc256164888"/>
      <w:bookmarkStart w:id="47" w:name="_Toc444784455"/>
      <w:bookmarkEnd w:id="45"/>
      <w:bookmarkEnd w:id="46"/>
      <w:r>
        <w:t>Tratamiento para direcciones no codificadas en GESCAL</w:t>
      </w:r>
      <w:bookmarkEnd w:id="47"/>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Para hacer frente a la complejidad de la gestión de domicilios por sus literales, sujetos a una casuística muy diversa como consecuencia de su tratamiento meditante lenguaje natural (texto), Telefónica ha desarrollado herramientas basadas en Web Services (WS) para permitir a los </w:t>
      </w:r>
      <w:r w:rsidR="00A41886">
        <w:rPr>
          <w:rFonts w:ascii="Arial" w:hAnsi="Arial" w:cs="Arial"/>
          <w:lang w:val="es-ES"/>
        </w:rPr>
        <w:t>operadores</w:t>
      </w:r>
      <w:r>
        <w:rPr>
          <w:rFonts w:ascii="Arial" w:hAnsi="Arial" w:cs="Arial"/>
          <w:lang w:val="es-ES"/>
        </w:rPr>
        <w:t xml:space="preserve"> recuperar la codificación GESCAL de domicilios e   incrementar así sensiblemente la eficacia de las solicitudes de altas sobre vacante, ya sean servicios de acceso indirecto o de desagregación de par. </w:t>
      </w:r>
    </w:p>
    <w:p w:rsidR="00E02C27" w:rsidRDefault="00E02C27">
      <w:pPr>
        <w:pStyle w:val="Textoindependiente"/>
        <w:spacing w:before="60" w:after="60"/>
        <w:ind w:left="431"/>
        <w:rPr>
          <w:rFonts w:ascii="Arial" w:hAnsi="Arial" w:cs="Arial"/>
          <w:lang w:val="es-ES"/>
        </w:rPr>
      </w:pPr>
      <w:r>
        <w:rPr>
          <w:rFonts w:ascii="Arial" w:hAnsi="Arial" w:cs="Arial"/>
          <w:lang w:val="es-ES"/>
        </w:rPr>
        <w:t>Por tanto, dichas solicitudes deberían ser precedidas de la utilización por el Operador solicitante de los correspondientes WS. Con ellos el Operador puede identificar la dirección correcta sobre la que desea aplicar su servicio y recuperar el código GESCAL correspondiente.</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Para ello, el operador consultará, vía domicilio, el WS para recuperar el código GESCAL. Si al realizar la consulta en GESCAL el domicilio no está registrado, el Operador deberá solicitar vía NEON la inclusión en GESCAL de las direcciones no contempladas en este sistema y </w:t>
      </w:r>
      <w:r w:rsidR="009D686F">
        <w:rPr>
          <w:rFonts w:ascii="Arial" w:hAnsi="Arial" w:cs="Arial"/>
          <w:lang w:val="es-ES"/>
        </w:rPr>
        <w:t>Telefónica</w:t>
      </w:r>
      <w:r>
        <w:rPr>
          <w:rFonts w:ascii="Arial" w:hAnsi="Arial" w:cs="Arial"/>
          <w:lang w:val="es-ES"/>
        </w:rPr>
        <w:t xml:space="preserve"> actuará </w:t>
      </w:r>
      <w:r w:rsidR="00D67BA9">
        <w:rPr>
          <w:rFonts w:ascii="Arial" w:hAnsi="Arial" w:cs="Arial"/>
          <w:lang w:val="es-ES"/>
        </w:rPr>
        <w:t xml:space="preserve">en el plazo especificado </w:t>
      </w:r>
      <w:r>
        <w:rPr>
          <w:rFonts w:ascii="Arial" w:hAnsi="Arial" w:cs="Arial"/>
          <w:lang w:val="es-ES"/>
        </w:rPr>
        <w:t>para que el operador recupere la dirección codificada también a través de NEON (WS).</w:t>
      </w:r>
    </w:p>
    <w:p w:rsidR="00C11E0B" w:rsidRDefault="00DE1872" w:rsidP="00DE1872">
      <w:pPr>
        <w:pStyle w:val="Textoindependiente"/>
        <w:spacing w:before="60" w:after="60"/>
        <w:ind w:left="431"/>
        <w:rPr>
          <w:rFonts w:ascii="Arial" w:hAnsi="Arial" w:cs="Arial"/>
          <w:lang w:val="es-ES"/>
        </w:rPr>
      </w:pPr>
      <w:r>
        <w:rPr>
          <w:rFonts w:ascii="Arial" w:hAnsi="Arial" w:cs="Arial"/>
          <w:lang w:val="es-ES"/>
        </w:rPr>
        <w:t>E</w:t>
      </w:r>
      <w:r w:rsidR="00E02C27">
        <w:rPr>
          <w:rFonts w:ascii="Arial" w:hAnsi="Arial" w:cs="Arial"/>
          <w:lang w:val="es-ES"/>
        </w:rPr>
        <w:t>l procedimiento para el alta de códigos GESCAL directamente por los operadores</w:t>
      </w:r>
      <w:r>
        <w:rPr>
          <w:rFonts w:ascii="Arial" w:hAnsi="Arial" w:cs="Arial"/>
          <w:lang w:val="es-ES"/>
        </w:rPr>
        <w:t xml:space="preserve"> será común a todos los servicios</w:t>
      </w:r>
      <w:r w:rsidRPr="00DE1872">
        <w:rPr>
          <w:rFonts w:ascii="Arial" w:hAnsi="Arial" w:cs="Arial"/>
          <w:lang w:val="es-ES"/>
        </w:rPr>
        <w:t xml:space="preserve"> que utilizan la codificación GESCAL</w:t>
      </w:r>
      <w:r>
        <w:rPr>
          <w:rFonts w:ascii="Arial" w:hAnsi="Arial" w:cs="Arial"/>
          <w:lang w:val="es-ES"/>
        </w:rPr>
        <w:t xml:space="preserve"> y se ajustará a lo </w:t>
      </w:r>
      <w:r w:rsidR="002815EF">
        <w:rPr>
          <w:rFonts w:ascii="Arial" w:hAnsi="Arial" w:cs="Arial"/>
          <w:lang w:val="es-ES"/>
        </w:rPr>
        <w:t>dispuesto</w:t>
      </w:r>
      <w:r>
        <w:rPr>
          <w:rFonts w:ascii="Arial" w:hAnsi="Arial" w:cs="Arial"/>
          <w:lang w:val="es-ES"/>
        </w:rPr>
        <w:t xml:space="preserve"> en la </w:t>
      </w:r>
      <w:r w:rsidR="00E84290" w:rsidRPr="00DE1872">
        <w:rPr>
          <w:rFonts w:ascii="Arial" w:hAnsi="Arial" w:cs="Arial"/>
          <w:lang w:val="es-ES"/>
        </w:rPr>
        <w:t>resolución del expediente</w:t>
      </w:r>
      <w:r w:rsidRPr="00DE1872">
        <w:rPr>
          <w:rFonts w:ascii="Arial" w:hAnsi="Arial" w:cs="Arial"/>
          <w:lang w:val="es-ES"/>
        </w:rPr>
        <w:t xml:space="preserve"> </w:t>
      </w:r>
      <w:r w:rsidR="00E84290">
        <w:rPr>
          <w:rFonts w:ascii="Arial" w:hAnsi="Arial" w:cs="Arial"/>
          <w:lang w:val="es-ES"/>
        </w:rPr>
        <w:t>de sistemas OBA (</w:t>
      </w:r>
      <w:r w:rsidRPr="00DE1872">
        <w:rPr>
          <w:rFonts w:ascii="Arial" w:hAnsi="Arial" w:cs="Arial"/>
          <w:lang w:val="es-ES"/>
        </w:rPr>
        <w:t>DT 2008/674</w:t>
      </w:r>
      <w:r w:rsidR="00E84290">
        <w:rPr>
          <w:rFonts w:ascii="Arial" w:hAnsi="Arial" w:cs="Arial"/>
          <w:lang w:val="es-ES"/>
        </w:rPr>
        <w:t>)</w:t>
      </w:r>
    </w:p>
    <w:p w:rsidR="00E02C27" w:rsidRDefault="00E02C27" w:rsidP="00D67BA9">
      <w:pPr>
        <w:pStyle w:val="Textoindependiente"/>
        <w:spacing w:before="60" w:after="60"/>
        <w:ind w:left="431"/>
      </w:pPr>
    </w:p>
    <w:p w:rsidR="00E02C27" w:rsidRDefault="00E02C27" w:rsidP="006B5381">
      <w:pPr>
        <w:pStyle w:val="EstiloTitulo2"/>
      </w:pPr>
      <w:bookmarkStart w:id="48" w:name="_Toc444784456"/>
      <w:r>
        <w:t>Identificación de accesos</w:t>
      </w:r>
      <w:bookmarkEnd w:id="48"/>
    </w:p>
    <w:p w:rsidR="00E02C27" w:rsidRDefault="00E02C27">
      <w:pPr>
        <w:pStyle w:val="Textoindependiente"/>
        <w:spacing w:before="240" w:after="60"/>
        <w:ind w:left="431"/>
        <w:rPr>
          <w:rFonts w:ascii="Arial" w:hAnsi="Arial" w:cs="Arial"/>
          <w:lang w:val="es-ES"/>
        </w:rPr>
      </w:pPr>
      <w:r>
        <w:rPr>
          <w:rFonts w:ascii="Arial" w:hAnsi="Arial" w:cs="Arial"/>
          <w:lang w:val="es-ES"/>
        </w:rPr>
        <w:t xml:space="preserve">Para poder efectuar de modo adecuado los movimientos comerciales del servicio NEBA, es necesario identificar en la solicitud correspondiente el acceso sobre el que se desea el servicio. </w:t>
      </w:r>
    </w:p>
    <w:p w:rsidR="00E02C27" w:rsidRDefault="00E02C27">
      <w:pPr>
        <w:pStyle w:val="Textoindependiente"/>
        <w:spacing w:before="60" w:after="60"/>
        <w:ind w:left="431"/>
        <w:rPr>
          <w:rFonts w:ascii="Arial" w:hAnsi="Arial" w:cs="Arial"/>
          <w:lang w:val="es-ES"/>
        </w:rPr>
      </w:pPr>
      <w:r>
        <w:rPr>
          <w:rFonts w:ascii="Arial" w:hAnsi="Arial" w:cs="Arial"/>
          <w:lang w:val="es-ES"/>
        </w:rPr>
        <w:t>A continuación se detalla el identificador que deberá ser utilizado en los diversos escenarios:</w:t>
      </w:r>
    </w:p>
    <w:p w:rsidR="00E02C27" w:rsidRDefault="00E02C27">
      <w:pPr>
        <w:numPr>
          <w:ilvl w:val="0"/>
          <w:numId w:val="46"/>
        </w:numPr>
        <w:spacing w:before="60" w:after="60"/>
        <w:ind w:left="1066" w:hanging="357"/>
        <w:rPr>
          <w:rFonts w:ascii="Arial" w:hAnsi="Arial" w:cs="Arial"/>
          <w:bCs/>
          <w:sz w:val="24"/>
          <w:szCs w:val="24"/>
        </w:rPr>
      </w:pPr>
      <w:r>
        <w:rPr>
          <w:rFonts w:ascii="Arial" w:hAnsi="Arial" w:cs="Arial"/>
          <w:bCs/>
          <w:sz w:val="24"/>
          <w:szCs w:val="24"/>
        </w:rPr>
        <w:t>Servicios de acceso indirecto sobre cobre. Si un Operador quiere solicitar un movimiento sobre un servicio de su titularidad, debe emplear el número comercial</w:t>
      </w:r>
      <w:r>
        <w:rPr>
          <w:rFonts w:ascii="Arial" w:hAnsi="Arial" w:cs="Arial"/>
          <w:b/>
          <w:bCs/>
          <w:sz w:val="24"/>
          <w:szCs w:val="24"/>
        </w:rPr>
        <w:t xml:space="preserve"> </w:t>
      </w:r>
      <w:r>
        <w:rPr>
          <w:rFonts w:ascii="Arial" w:hAnsi="Arial" w:cs="Arial"/>
          <w:bCs/>
          <w:sz w:val="24"/>
          <w:szCs w:val="24"/>
        </w:rPr>
        <w:t>del servicio mayorista que tiene contratado.</w:t>
      </w:r>
    </w:p>
    <w:p w:rsidR="00E02C27" w:rsidRDefault="00E02C27">
      <w:pPr>
        <w:numPr>
          <w:ilvl w:val="0"/>
          <w:numId w:val="46"/>
        </w:numPr>
        <w:spacing w:before="60" w:after="60"/>
        <w:ind w:left="1066" w:hanging="357"/>
        <w:rPr>
          <w:rFonts w:ascii="Arial" w:hAnsi="Arial" w:cs="Arial"/>
          <w:bCs/>
          <w:sz w:val="24"/>
          <w:szCs w:val="24"/>
        </w:rPr>
      </w:pPr>
      <w:r>
        <w:rPr>
          <w:rFonts w:ascii="Arial" w:hAnsi="Arial" w:cs="Arial"/>
          <w:bCs/>
          <w:sz w:val="24"/>
          <w:szCs w:val="24"/>
        </w:rPr>
        <w:t>Servicios de acceso  indirecto sobre fibra. Se deberá utilizar el Identificador Único de Acceso (IUA),</w:t>
      </w:r>
      <w:r>
        <w:rPr>
          <w:rFonts w:ascii="Arial" w:hAnsi="Arial" w:cs="Arial"/>
          <w:bCs/>
          <w:iCs/>
          <w:sz w:val="24"/>
          <w:szCs w:val="24"/>
        </w:rPr>
        <w:t xml:space="preserve"> ver en el punto 3.4.1</w:t>
      </w:r>
      <w:r>
        <w:rPr>
          <w:rFonts w:ascii="Arial" w:hAnsi="Arial" w:cs="Arial"/>
          <w:bCs/>
          <w:sz w:val="24"/>
          <w:szCs w:val="24"/>
        </w:rPr>
        <w:t xml:space="preserve">. </w:t>
      </w:r>
    </w:p>
    <w:p w:rsidR="00E02C27" w:rsidRDefault="00E02C27">
      <w:pPr>
        <w:numPr>
          <w:ilvl w:val="0"/>
          <w:numId w:val="46"/>
        </w:numPr>
        <w:spacing w:before="60" w:after="60"/>
        <w:ind w:left="1066" w:hanging="357"/>
        <w:rPr>
          <w:rFonts w:ascii="Arial" w:hAnsi="Arial" w:cs="Arial"/>
          <w:bCs/>
          <w:sz w:val="24"/>
          <w:szCs w:val="24"/>
        </w:rPr>
      </w:pPr>
      <w:r>
        <w:rPr>
          <w:rFonts w:ascii="Arial" w:hAnsi="Arial" w:cs="Arial"/>
          <w:bCs/>
          <w:sz w:val="24"/>
          <w:szCs w:val="24"/>
        </w:rPr>
        <w:t xml:space="preserve">Si un operador solicita un alta de NEBA sobre un acceso ocupado por un servicio prestado por </w:t>
      </w:r>
      <w:r w:rsidR="009D686F">
        <w:rPr>
          <w:rFonts w:ascii="Arial" w:hAnsi="Arial" w:cs="Arial"/>
          <w:bCs/>
          <w:sz w:val="24"/>
          <w:szCs w:val="24"/>
        </w:rPr>
        <w:t>Telefónica</w:t>
      </w:r>
      <w:r>
        <w:rPr>
          <w:rFonts w:ascii="Arial" w:hAnsi="Arial" w:cs="Arial"/>
          <w:bCs/>
          <w:sz w:val="24"/>
          <w:szCs w:val="24"/>
        </w:rPr>
        <w:t xml:space="preserve"> a otro Operador, será necesario emplear una referencia comercial para identificar correctamente el acceso sobre el que se quiere efectuar el movimiento. En ese sentido, caben dos escenarios básicos:</w:t>
      </w:r>
    </w:p>
    <w:p w:rsidR="00E02C27" w:rsidRDefault="00E02C27">
      <w:pPr>
        <w:numPr>
          <w:ilvl w:val="0"/>
          <w:numId w:val="55"/>
        </w:numPr>
        <w:spacing w:before="60" w:after="60"/>
        <w:rPr>
          <w:rFonts w:ascii="Arial" w:hAnsi="Arial" w:cs="Arial"/>
          <w:bCs/>
          <w:sz w:val="24"/>
          <w:szCs w:val="24"/>
        </w:rPr>
      </w:pPr>
      <w:r>
        <w:rPr>
          <w:rFonts w:ascii="Arial" w:hAnsi="Arial" w:cs="Arial"/>
          <w:bCs/>
          <w:sz w:val="24"/>
          <w:szCs w:val="24"/>
        </w:rPr>
        <w:t xml:space="preserve">En el caso de servicios mayoristas de </w:t>
      </w:r>
      <w:r w:rsidR="009D686F">
        <w:rPr>
          <w:rFonts w:ascii="Arial" w:hAnsi="Arial" w:cs="Arial"/>
          <w:bCs/>
          <w:sz w:val="24"/>
          <w:szCs w:val="24"/>
        </w:rPr>
        <w:t>Telefónica</w:t>
      </w:r>
      <w:r>
        <w:rPr>
          <w:rFonts w:ascii="Arial" w:hAnsi="Arial" w:cs="Arial"/>
          <w:bCs/>
          <w:sz w:val="24"/>
          <w:szCs w:val="24"/>
        </w:rPr>
        <w:t xml:space="preserve"> sobre accesos de cobre con número de teléfono de </w:t>
      </w:r>
      <w:r w:rsidR="009D686F">
        <w:rPr>
          <w:rFonts w:ascii="Arial" w:hAnsi="Arial" w:cs="Arial"/>
          <w:bCs/>
          <w:sz w:val="24"/>
          <w:szCs w:val="24"/>
        </w:rPr>
        <w:t>Telefónica</w:t>
      </w:r>
      <w:r>
        <w:rPr>
          <w:rFonts w:ascii="Arial" w:hAnsi="Arial" w:cs="Arial"/>
          <w:bCs/>
          <w:sz w:val="24"/>
          <w:szCs w:val="24"/>
        </w:rPr>
        <w:t xml:space="preserve">, el número de teléfono de </w:t>
      </w:r>
      <w:r w:rsidR="009D686F">
        <w:rPr>
          <w:rFonts w:ascii="Arial" w:hAnsi="Arial" w:cs="Arial"/>
          <w:bCs/>
          <w:sz w:val="24"/>
          <w:szCs w:val="24"/>
        </w:rPr>
        <w:t>Telefónica</w:t>
      </w:r>
      <w:r>
        <w:rPr>
          <w:rFonts w:ascii="Arial" w:hAnsi="Arial" w:cs="Arial"/>
          <w:bCs/>
          <w:sz w:val="24"/>
          <w:szCs w:val="24"/>
        </w:rPr>
        <w:t xml:space="preserve"> es una referencia comercial de </w:t>
      </w:r>
      <w:r w:rsidR="009D686F">
        <w:rPr>
          <w:rFonts w:ascii="Arial" w:hAnsi="Arial" w:cs="Arial"/>
          <w:bCs/>
          <w:sz w:val="24"/>
          <w:szCs w:val="24"/>
        </w:rPr>
        <w:t>Telefónica</w:t>
      </w:r>
      <w:r>
        <w:rPr>
          <w:rFonts w:ascii="Arial" w:hAnsi="Arial" w:cs="Arial"/>
          <w:bCs/>
          <w:sz w:val="24"/>
          <w:szCs w:val="24"/>
        </w:rPr>
        <w:t xml:space="preserve"> válida para identificar inequívocamente el acceso.</w:t>
      </w:r>
    </w:p>
    <w:p w:rsidR="00E02C27" w:rsidRDefault="00E02C27">
      <w:pPr>
        <w:numPr>
          <w:ilvl w:val="0"/>
          <w:numId w:val="55"/>
        </w:numPr>
        <w:spacing w:before="60" w:after="60"/>
        <w:rPr>
          <w:rFonts w:ascii="Arial" w:hAnsi="Arial" w:cs="Arial"/>
          <w:bCs/>
          <w:iCs/>
          <w:sz w:val="24"/>
          <w:szCs w:val="24"/>
        </w:rPr>
      </w:pPr>
      <w:r>
        <w:rPr>
          <w:rFonts w:ascii="Arial" w:hAnsi="Arial" w:cs="Arial"/>
          <w:bCs/>
          <w:sz w:val="24"/>
          <w:szCs w:val="24"/>
        </w:rPr>
        <w:t xml:space="preserve">En el caso de servicios mayoristas de </w:t>
      </w:r>
      <w:r w:rsidR="009D686F">
        <w:rPr>
          <w:rFonts w:ascii="Arial" w:hAnsi="Arial" w:cs="Arial"/>
          <w:bCs/>
          <w:sz w:val="24"/>
          <w:szCs w:val="24"/>
        </w:rPr>
        <w:t>Telefónica</w:t>
      </w:r>
      <w:r>
        <w:rPr>
          <w:rFonts w:ascii="Arial" w:hAnsi="Arial" w:cs="Arial"/>
          <w:bCs/>
          <w:sz w:val="24"/>
          <w:szCs w:val="24"/>
        </w:rPr>
        <w:t xml:space="preserve"> sobre accesos de cobre sin número de teléfono de </w:t>
      </w:r>
      <w:r w:rsidR="009D686F">
        <w:rPr>
          <w:rFonts w:ascii="Arial" w:hAnsi="Arial" w:cs="Arial"/>
          <w:bCs/>
          <w:sz w:val="24"/>
          <w:szCs w:val="24"/>
        </w:rPr>
        <w:t>Telefónica</w:t>
      </w:r>
      <w:r>
        <w:rPr>
          <w:rFonts w:ascii="Arial" w:hAnsi="Arial" w:cs="Arial"/>
          <w:bCs/>
          <w:sz w:val="24"/>
          <w:szCs w:val="24"/>
        </w:rPr>
        <w:t xml:space="preserve"> (“desnudos”, tanto indirecto sin STB como pares completamente desagregados y pares compartidos s</w:t>
      </w:r>
      <w:r w:rsidR="007A2916">
        <w:rPr>
          <w:rFonts w:ascii="Arial" w:hAnsi="Arial" w:cs="Arial"/>
          <w:bCs/>
          <w:sz w:val="24"/>
          <w:szCs w:val="24"/>
        </w:rPr>
        <w:t xml:space="preserve">in STB), </w:t>
      </w:r>
      <w:r>
        <w:rPr>
          <w:rFonts w:ascii="Arial" w:hAnsi="Arial" w:cs="Arial"/>
          <w:bCs/>
          <w:sz w:val="24"/>
          <w:szCs w:val="24"/>
        </w:rPr>
        <w:t xml:space="preserve">la  inexistencia del número de teléfono de </w:t>
      </w:r>
      <w:r w:rsidR="009D686F">
        <w:rPr>
          <w:rFonts w:ascii="Arial" w:hAnsi="Arial" w:cs="Arial"/>
          <w:bCs/>
          <w:sz w:val="24"/>
          <w:szCs w:val="24"/>
        </w:rPr>
        <w:t>Telefónica</w:t>
      </w:r>
      <w:r>
        <w:rPr>
          <w:rFonts w:ascii="Arial" w:hAnsi="Arial" w:cs="Arial"/>
          <w:bCs/>
          <w:sz w:val="24"/>
          <w:szCs w:val="24"/>
        </w:rPr>
        <w:t xml:space="preserve"> como referencia comercial obliga a considerar otra alternativa:</w:t>
      </w:r>
    </w:p>
    <w:p w:rsidR="00E02C27" w:rsidRDefault="00E02C27">
      <w:pPr>
        <w:numPr>
          <w:ilvl w:val="2"/>
          <w:numId w:val="55"/>
        </w:numPr>
        <w:tabs>
          <w:tab w:val="clear" w:pos="2157"/>
        </w:tabs>
        <w:spacing w:before="60" w:after="60"/>
        <w:ind w:left="1843"/>
        <w:rPr>
          <w:rFonts w:ascii="Arial" w:hAnsi="Arial" w:cs="Arial"/>
          <w:bCs/>
          <w:iCs/>
          <w:sz w:val="24"/>
          <w:szCs w:val="24"/>
        </w:rPr>
      </w:pPr>
      <w:r>
        <w:rPr>
          <w:rFonts w:ascii="Arial" w:hAnsi="Arial" w:cs="Arial"/>
          <w:bCs/>
          <w:sz w:val="24"/>
          <w:szCs w:val="24"/>
        </w:rPr>
        <w:t>P</w:t>
      </w:r>
      <w:r>
        <w:rPr>
          <w:rFonts w:ascii="Arial" w:hAnsi="Arial" w:cs="Arial"/>
          <w:bCs/>
          <w:iCs/>
          <w:sz w:val="24"/>
          <w:szCs w:val="24"/>
        </w:rPr>
        <w:t xml:space="preserve">ara accesos de </w:t>
      </w:r>
      <w:r>
        <w:rPr>
          <w:rFonts w:ascii="Arial" w:hAnsi="Arial" w:cs="Arial"/>
          <w:iCs/>
          <w:sz w:val="24"/>
          <w:szCs w:val="24"/>
        </w:rPr>
        <w:t>cobre,</w:t>
      </w:r>
      <w:r>
        <w:rPr>
          <w:rFonts w:ascii="Arial" w:hAnsi="Arial" w:cs="Arial"/>
          <w:bCs/>
          <w:iCs/>
          <w:sz w:val="24"/>
          <w:szCs w:val="24"/>
        </w:rPr>
        <w:t xml:space="preserve"> el número administrativo es un </w:t>
      </w:r>
      <w:r>
        <w:rPr>
          <w:rFonts w:ascii="Arial" w:hAnsi="Arial" w:cs="Arial"/>
          <w:iCs/>
          <w:sz w:val="24"/>
          <w:szCs w:val="24"/>
        </w:rPr>
        <w:t>identificador comercial</w:t>
      </w:r>
      <w:r>
        <w:rPr>
          <w:rFonts w:ascii="Arial" w:hAnsi="Arial" w:cs="Arial"/>
          <w:bCs/>
          <w:iCs/>
          <w:sz w:val="24"/>
          <w:szCs w:val="24"/>
        </w:rPr>
        <w:t xml:space="preserve"> del servicio mayorista que los operadores deben utilizar para llegar a identificar el acceso que soporta el servicio. </w:t>
      </w:r>
    </w:p>
    <w:p w:rsidR="00E02C27" w:rsidRDefault="00E02C27">
      <w:pPr>
        <w:numPr>
          <w:ilvl w:val="2"/>
          <w:numId w:val="55"/>
        </w:numPr>
        <w:tabs>
          <w:tab w:val="clear" w:pos="2157"/>
        </w:tabs>
        <w:spacing w:before="60" w:after="60"/>
        <w:ind w:left="1843"/>
        <w:rPr>
          <w:rFonts w:ascii="Arial" w:hAnsi="Arial" w:cs="Arial"/>
          <w:bCs/>
          <w:iCs/>
          <w:sz w:val="24"/>
          <w:szCs w:val="24"/>
        </w:rPr>
      </w:pPr>
      <w:r>
        <w:rPr>
          <w:rFonts w:ascii="Arial" w:hAnsi="Arial" w:cs="Arial"/>
          <w:bCs/>
          <w:iCs/>
          <w:sz w:val="24"/>
          <w:szCs w:val="24"/>
        </w:rPr>
        <w:t xml:space="preserve">Para accesos de </w:t>
      </w:r>
      <w:r>
        <w:rPr>
          <w:rFonts w:ascii="Arial" w:hAnsi="Arial" w:cs="Arial"/>
          <w:iCs/>
          <w:sz w:val="24"/>
          <w:szCs w:val="24"/>
        </w:rPr>
        <w:t>fibra</w:t>
      </w:r>
      <w:r>
        <w:rPr>
          <w:rFonts w:ascii="Arial" w:hAnsi="Arial" w:cs="Arial"/>
          <w:bCs/>
          <w:iCs/>
          <w:sz w:val="24"/>
          <w:szCs w:val="24"/>
        </w:rPr>
        <w:t>, el</w:t>
      </w:r>
      <w:r>
        <w:rPr>
          <w:rFonts w:ascii="Arial" w:hAnsi="Arial" w:cs="Arial"/>
          <w:iCs/>
          <w:sz w:val="24"/>
          <w:szCs w:val="24"/>
        </w:rPr>
        <w:t xml:space="preserve"> Identificador Único de Acceso (IUA)</w:t>
      </w:r>
      <w:r>
        <w:rPr>
          <w:rFonts w:ascii="Arial" w:hAnsi="Arial" w:cs="Arial"/>
          <w:bCs/>
          <w:iCs/>
          <w:sz w:val="24"/>
          <w:szCs w:val="24"/>
        </w:rPr>
        <w:t xml:space="preserve"> es la referencia</w:t>
      </w:r>
      <w:r>
        <w:rPr>
          <w:rFonts w:ascii="Arial" w:hAnsi="Arial" w:cs="Arial"/>
          <w:iCs/>
          <w:sz w:val="24"/>
          <w:szCs w:val="24"/>
        </w:rPr>
        <w:t xml:space="preserve"> </w:t>
      </w:r>
      <w:r>
        <w:rPr>
          <w:rFonts w:ascii="Arial" w:hAnsi="Arial" w:cs="Arial"/>
          <w:bCs/>
          <w:iCs/>
          <w:sz w:val="24"/>
          <w:szCs w:val="24"/>
        </w:rPr>
        <w:t>que deb</w:t>
      </w:r>
      <w:r w:rsidR="007A2916">
        <w:rPr>
          <w:rFonts w:ascii="Arial" w:hAnsi="Arial" w:cs="Arial"/>
          <w:bCs/>
          <w:iCs/>
          <w:sz w:val="24"/>
          <w:szCs w:val="24"/>
        </w:rPr>
        <w:t>erá utilizarse para identificar</w:t>
      </w:r>
      <w:r>
        <w:rPr>
          <w:rFonts w:ascii="Arial" w:hAnsi="Arial" w:cs="Arial"/>
          <w:bCs/>
          <w:iCs/>
          <w:sz w:val="24"/>
          <w:szCs w:val="24"/>
        </w:rPr>
        <w:t xml:space="preserve"> el acceso sobre el que se solicite el servicio. </w:t>
      </w:r>
    </w:p>
    <w:p w:rsidR="00E02C27" w:rsidRDefault="00E02C27">
      <w:pPr>
        <w:pStyle w:val="Textoindependiente"/>
        <w:spacing w:before="60" w:after="60"/>
        <w:ind w:left="431"/>
        <w:rPr>
          <w:rFonts w:ascii="Arial" w:hAnsi="Arial" w:cs="Arial"/>
          <w:lang w:val="es-ES"/>
        </w:rPr>
      </w:pPr>
      <w:r>
        <w:rPr>
          <w:rFonts w:ascii="Arial" w:hAnsi="Arial" w:cs="Arial"/>
          <w:lang w:val="es-ES"/>
        </w:rPr>
        <w:t>En conclusión, la utilización del literal del domicilio no permite asegurar una identificación correcta del acceso. Por tanto, se establece el mecanismo descrito, basado en parámetros distintos al “domicilio”, a fin de identificar el acceso y evitar los problemas asociados a tratar de identificar un domicilio mediante un literal.</w:t>
      </w:r>
    </w:p>
    <w:p w:rsidR="00E02C27" w:rsidRDefault="00E02C27">
      <w:pPr>
        <w:pStyle w:val="Textoindependiente"/>
        <w:spacing w:before="60" w:after="60"/>
        <w:ind w:left="431"/>
        <w:rPr>
          <w:rFonts w:ascii="Arial" w:hAnsi="Arial" w:cs="Arial"/>
          <w:lang w:val="es-ES"/>
        </w:rPr>
      </w:pPr>
      <w:r>
        <w:rPr>
          <w:rFonts w:ascii="Arial" w:hAnsi="Arial" w:cs="Arial"/>
          <w:lang w:val="es-ES"/>
        </w:rPr>
        <w:t>El cuadro siguiente resume los escenarios considerados y el identificador a utilizar.</w:t>
      </w:r>
    </w:p>
    <w:p w:rsidR="00E02C27" w:rsidRDefault="00E02C27">
      <w:pPr>
        <w:pStyle w:val="Textoindependiente"/>
        <w:spacing w:before="60" w:after="60"/>
        <w:ind w:left="0"/>
        <w:rPr>
          <w:rFonts w:ascii="Arial" w:hAnsi="Arial"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3448"/>
        <w:gridCol w:w="3449"/>
      </w:tblGrid>
      <w:tr w:rsidR="00E02C27">
        <w:tc>
          <w:tcPr>
            <w:tcW w:w="3448" w:type="dxa"/>
          </w:tcPr>
          <w:p w:rsidR="00E02C27" w:rsidRDefault="00E02C27">
            <w:pPr>
              <w:pStyle w:val="Textoindependiente"/>
              <w:spacing w:before="60" w:after="60"/>
              <w:ind w:left="0"/>
              <w:rPr>
                <w:rFonts w:ascii="Arial" w:hAnsi="Arial" w:cs="Arial"/>
                <w:b/>
                <w:i/>
                <w:lang w:val="es-ES"/>
              </w:rPr>
            </w:pPr>
            <w:r>
              <w:rPr>
                <w:rFonts w:ascii="Arial" w:hAnsi="Arial" w:cs="Arial"/>
                <w:b/>
                <w:i/>
                <w:lang w:val="es-ES"/>
              </w:rPr>
              <w:t>Tipo de acceso</w:t>
            </w:r>
          </w:p>
        </w:tc>
        <w:tc>
          <w:tcPr>
            <w:tcW w:w="3448" w:type="dxa"/>
          </w:tcPr>
          <w:p w:rsidR="00E02C27" w:rsidRDefault="00E02C27">
            <w:pPr>
              <w:pStyle w:val="Textoindependiente"/>
              <w:spacing w:before="60" w:after="60"/>
              <w:ind w:left="0"/>
              <w:rPr>
                <w:rFonts w:ascii="Arial" w:hAnsi="Arial" w:cs="Arial"/>
                <w:b/>
                <w:i/>
                <w:lang w:val="es-ES"/>
              </w:rPr>
            </w:pPr>
            <w:r>
              <w:rPr>
                <w:rFonts w:ascii="Arial" w:hAnsi="Arial" w:cs="Arial"/>
                <w:b/>
                <w:i/>
                <w:lang w:val="es-ES"/>
              </w:rPr>
              <w:t>Escenario</w:t>
            </w:r>
          </w:p>
        </w:tc>
        <w:tc>
          <w:tcPr>
            <w:tcW w:w="3449" w:type="dxa"/>
          </w:tcPr>
          <w:p w:rsidR="00E02C27" w:rsidRDefault="00E02C27">
            <w:pPr>
              <w:pStyle w:val="Textoindependiente"/>
              <w:spacing w:before="60" w:after="60"/>
              <w:ind w:left="0"/>
              <w:rPr>
                <w:rFonts w:ascii="Arial" w:hAnsi="Arial" w:cs="Arial"/>
                <w:b/>
                <w:i/>
                <w:lang w:val="es-ES"/>
              </w:rPr>
            </w:pPr>
            <w:r>
              <w:rPr>
                <w:rFonts w:ascii="Arial" w:hAnsi="Arial" w:cs="Arial"/>
                <w:b/>
                <w:i/>
                <w:lang w:val="es-ES"/>
              </w:rPr>
              <w:t>Identificador</w:t>
            </w:r>
          </w:p>
        </w:tc>
      </w:tr>
      <w:tr w:rsidR="00E02C27">
        <w:trPr>
          <w:cantSplit/>
        </w:trPr>
        <w:tc>
          <w:tcPr>
            <w:tcW w:w="3448" w:type="dxa"/>
            <w:vMerge w:val="restart"/>
          </w:tcPr>
          <w:p w:rsidR="00E02C27" w:rsidRDefault="00E02C27">
            <w:pPr>
              <w:pStyle w:val="Textoindependiente"/>
              <w:spacing w:before="60" w:after="60"/>
              <w:ind w:left="0"/>
              <w:rPr>
                <w:rFonts w:ascii="Arial" w:hAnsi="Arial" w:cs="Arial"/>
                <w:lang w:val="es-ES"/>
              </w:rPr>
            </w:pPr>
            <w:r>
              <w:rPr>
                <w:rFonts w:ascii="Arial" w:hAnsi="Arial" w:cs="Arial"/>
                <w:lang w:val="es-ES"/>
              </w:rPr>
              <w:t>Acceso de cobre</w:t>
            </w:r>
          </w:p>
        </w:tc>
        <w:tc>
          <w:tcPr>
            <w:tcW w:w="3448" w:type="dxa"/>
          </w:tcPr>
          <w:p w:rsidR="00E02C27" w:rsidRDefault="00E02C27">
            <w:pPr>
              <w:pStyle w:val="Textoindependiente"/>
              <w:spacing w:before="60" w:after="60"/>
              <w:ind w:left="0"/>
              <w:jc w:val="left"/>
              <w:rPr>
                <w:rFonts w:ascii="Arial" w:hAnsi="Arial" w:cs="Arial"/>
                <w:lang w:val="es-ES"/>
              </w:rPr>
            </w:pPr>
            <w:r>
              <w:rPr>
                <w:rFonts w:ascii="Arial" w:hAnsi="Arial" w:cs="Arial"/>
                <w:lang w:val="es-ES"/>
              </w:rPr>
              <w:t>Acceso propio del operador solicitante</w:t>
            </w:r>
          </w:p>
        </w:tc>
        <w:tc>
          <w:tcPr>
            <w:tcW w:w="3449" w:type="dxa"/>
          </w:tcPr>
          <w:p w:rsidR="00E02C27" w:rsidRDefault="00E02C27">
            <w:pPr>
              <w:pStyle w:val="Textoindependiente"/>
              <w:spacing w:before="60" w:after="60"/>
              <w:ind w:left="0"/>
              <w:rPr>
                <w:rFonts w:ascii="Arial" w:hAnsi="Arial" w:cs="Arial"/>
                <w:lang w:val="es-ES"/>
              </w:rPr>
            </w:pPr>
            <w:r>
              <w:rPr>
                <w:rFonts w:ascii="Arial" w:hAnsi="Arial" w:cs="Arial"/>
                <w:lang w:val="es-ES"/>
              </w:rPr>
              <w:t>Número administrativo</w:t>
            </w:r>
          </w:p>
        </w:tc>
      </w:tr>
      <w:tr w:rsidR="00E02C27">
        <w:trPr>
          <w:cantSplit/>
        </w:trPr>
        <w:tc>
          <w:tcPr>
            <w:tcW w:w="3448" w:type="dxa"/>
            <w:vMerge/>
          </w:tcPr>
          <w:p w:rsidR="00E02C27" w:rsidRDefault="00E02C27">
            <w:pPr>
              <w:pStyle w:val="Textoindependiente"/>
              <w:spacing w:before="60" w:after="60"/>
              <w:ind w:left="0"/>
              <w:rPr>
                <w:rFonts w:ascii="Arial" w:hAnsi="Arial" w:cs="Arial"/>
                <w:lang w:val="es-ES"/>
              </w:rPr>
            </w:pPr>
          </w:p>
        </w:tc>
        <w:tc>
          <w:tcPr>
            <w:tcW w:w="3448" w:type="dxa"/>
          </w:tcPr>
          <w:p w:rsidR="00E02C27" w:rsidRDefault="00E02C27">
            <w:pPr>
              <w:pStyle w:val="Textoindependiente"/>
              <w:spacing w:before="60" w:after="60"/>
              <w:ind w:left="0"/>
              <w:jc w:val="left"/>
              <w:rPr>
                <w:rFonts w:ascii="Arial" w:hAnsi="Arial" w:cs="Arial"/>
                <w:lang w:val="es-ES"/>
              </w:rPr>
            </w:pPr>
            <w:r>
              <w:rPr>
                <w:rFonts w:ascii="Arial" w:hAnsi="Arial" w:cs="Arial"/>
                <w:lang w:val="es-ES"/>
              </w:rPr>
              <w:t xml:space="preserve">Acceso de </w:t>
            </w:r>
            <w:r w:rsidR="009D686F">
              <w:rPr>
                <w:rFonts w:ascii="Arial" w:hAnsi="Arial" w:cs="Arial"/>
                <w:lang w:val="es-ES"/>
              </w:rPr>
              <w:t>Telefónica</w:t>
            </w:r>
            <w:r>
              <w:rPr>
                <w:rFonts w:ascii="Arial" w:hAnsi="Arial" w:cs="Arial"/>
                <w:lang w:val="es-ES"/>
              </w:rPr>
              <w:t xml:space="preserve"> o de un tercer operador con número telefónico de </w:t>
            </w:r>
            <w:r w:rsidR="009D686F">
              <w:rPr>
                <w:rFonts w:ascii="Arial" w:hAnsi="Arial" w:cs="Arial"/>
                <w:lang w:val="es-ES"/>
              </w:rPr>
              <w:t>Telefónica</w:t>
            </w:r>
          </w:p>
        </w:tc>
        <w:tc>
          <w:tcPr>
            <w:tcW w:w="3449" w:type="dxa"/>
          </w:tcPr>
          <w:p w:rsidR="00E02C27" w:rsidRDefault="00E02C27">
            <w:pPr>
              <w:pStyle w:val="Textoindependiente"/>
              <w:spacing w:before="60" w:after="60"/>
              <w:ind w:left="0"/>
              <w:rPr>
                <w:rFonts w:ascii="Arial" w:hAnsi="Arial" w:cs="Arial"/>
                <w:lang w:val="es-ES"/>
              </w:rPr>
            </w:pPr>
            <w:r>
              <w:rPr>
                <w:rFonts w:ascii="Arial" w:hAnsi="Arial" w:cs="Arial"/>
                <w:lang w:val="es-ES"/>
              </w:rPr>
              <w:t>Número telefónico</w:t>
            </w:r>
          </w:p>
        </w:tc>
      </w:tr>
      <w:tr w:rsidR="00E02C27">
        <w:trPr>
          <w:cantSplit/>
        </w:trPr>
        <w:tc>
          <w:tcPr>
            <w:tcW w:w="3448" w:type="dxa"/>
            <w:vMerge/>
          </w:tcPr>
          <w:p w:rsidR="00E02C27" w:rsidRDefault="00E02C27">
            <w:pPr>
              <w:pStyle w:val="Textoindependiente"/>
              <w:spacing w:before="60" w:after="60"/>
              <w:ind w:left="0"/>
              <w:rPr>
                <w:rFonts w:ascii="Arial" w:hAnsi="Arial" w:cs="Arial"/>
                <w:lang w:val="es-ES"/>
              </w:rPr>
            </w:pPr>
          </w:p>
        </w:tc>
        <w:tc>
          <w:tcPr>
            <w:tcW w:w="3448" w:type="dxa"/>
          </w:tcPr>
          <w:p w:rsidR="00E02C27" w:rsidRDefault="00E02C27">
            <w:pPr>
              <w:pStyle w:val="Textoindependiente"/>
              <w:spacing w:before="60" w:after="60"/>
              <w:ind w:left="0"/>
              <w:jc w:val="left"/>
              <w:rPr>
                <w:rFonts w:ascii="Arial" w:hAnsi="Arial" w:cs="Arial"/>
                <w:lang w:val="es-ES"/>
              </w:rPr>
            </w:pPr>
            <w:r>
              <w:rPr>
                <w:rFonts w:ascii="Arial" w:hAnsi="Arial" w:cs="Arial"/>
                <w:lang w:val="es-ES"/>
              </w:rPr>
              <w:t xml:space="preserve">Acceso de un tercer operador sin número telefónico de </w:t>
            </w:r>
            <w:r w:rsidR="009D686F">
              <w:rPr>
                <w:rFonts w:ascii="Arial" w:hAnsi="Arial" w:cs="Arial"/>
                <w:lang w:val="es-ES"/>
              </w:rPr>
              <w:t>Telefónica</w:t>
            </w:r>
          </w:p>
        </w:tc>
        <w:tc>
          <w:tcPr>
            <w:tcW w:w="3449" w:type="dxa"/>
          </w:tcPr>
          <w:p w:rsidR="00E02C27" w:rsidRDefault="00E02C27">
            <w:pPr>
              <w:pStyle w:val="Textoindependiente"/>
              <w:spacing w:before="60" w:after="60"/>
              <w:ind w:left="0"/>
              <w:rPr>
                <w:rFonts w:ascii="Arial" w:hAnsi="Arial" w:cs="Arial"/>
                <w:lang w:val="es-ES"/>
              </w:rPr>
            </w:pPr>
            <w:r>
              <w:rPr>
                <w:rFonts w:ascii="Arial" w:hAnsi="Arial" w:cs="Arial"/>
                <w:lang w:val="es-ES"/>
              </w:rPr>
              <w:t>Número administrativo</w:t>
            </w:r>
          </w:p>
        </w:tc>
      </w:tr>
      <w:tr w:rsidR="00E02C27">
        <w:tc>
          <w:tcPr>
            <w:tcW w:w="3448" w:type="dxa"/>
          </w:tcPr>
          <w:p w:rsidR="00E02C27" w:rsidRDefault="00E02C27">
            <w:pPr>
              <w:pStyle w:val="Textoindependiente"/>
              <w:spacing w:before="60" w:after="60"/>
              <w:ind w:left="0"/>
              <w:rPr>
                <w:rFonts w:ascii="Arial" w:hAnsi="Arial" w:cs="Arial"/>
                <w:lang w:val="es-ES"/>
              </w:rPr>
            </w:pPr>
            <w:r>
              <w:rPr>
                <w:rFonts w:ascii="Arial" w:hAnsi="Arial" w:cs="Arial"/>
                <w:lang w:val="es-ES"/>
              </w:rPr>
              <w:t>Acceso de fibra</w:t>
            </w:r>
          </w:p>
        </w:tc>
        <w:tc>
          <w:tcPr>
            <w:tcW w:w="3448" w:type="dxa"/>
          </w:tcPr>
          <w:p w:rsidR="00E02C27" w:rsidRDefault="00E02C27">
            <w:pPr>
              <w:pStyle w:val="Textoindependiente"/>
              <w:spacing w:before="60" w:after="60"/>
              <w:ind w:left="0"/>
              <w:jc w:val="left"/>
              <w:rPr>
                <w:rFonts w:ascii="Arial" w:hAnsi="Arial" w:cs="Arial"/>
                <w:lang w:val="es-ES"/>
              </w:rPr>
            </w:pPr>
            <w:r>
              <w:rPr>
                <w:rFonts w:ascii="Arial" w:hAnsi="Arial" w:cs="Arial"/>
                <w:lang w:val="es-ES"/>
              </w:rPr>
              <w:t>Cualquier escenario</w:t>
            </w:r>
          </w:p>
        </w:tc>
        <w:tc>
          <w:tcPr>
            <w:tcW w:w="3449" w:type="dxa"/>
          </w:tcPr>
          <w:p w:rsidR="00E02C27" w:rsidRDefault="00E02C27">
            <w:pPr>
              <w:pStyle w:val="Textoindependiente"/>
              <w:spacing w:before="60" w:after="60"/>
              <w:ind w:left="0"/>
              <w:rPr>
                <w:rFonts w:ascii="Arial" w:hAnsi="Arial" w:cs="Arial"/>
                <w:lang w:val="es-ES"/>
              </w:rPr>
            </w:pPr>
            <w:r>
              <w:rPr>
                <w:rFonts w:ascii="Arial" w:hAnsi="Arial" w:cs="Arial"/>
                <w:lang w:val="es-ES"/>
              </w:rPr>
              <w:t>IUA</w:t>
            </w:r>
          </w:p>
        </w:tc>
      </w:tr>
    </w:tbl>
    <w:p w:rsidR="00E02C27" w:rsidRDefault="00E02C27">
      <w:pPr>
        <w:pStyle w:val="Textoindependiente"/>
        <w:spacing w:before="60" w:after="60"/>
        <w:ind w:left="0"/>
        <w:rPr>
          <w:rFonts w:ascii="Arial" w:hAnsi="Arial" w:cs="Arial"/>
          <w:lang w:val="es-ES"/>
        </w:rPr>
      </w:pPr>
    </w:p>
    <w:p w:rsidR="00CE709B" w:rsidRDefault="00CE709B">
      <w:pPr>
        <w:pStyle w:val="Textoindependiente"/>
        <w:spacing w:before="60" w:after="60"/>
        <w:ind w:left="431" w:firstLine="22"/>
        <w:rPr>
          <w:rFonts w:ascii="Arial" w:hAnsi="Arial" w:cs="Arial"/>
          <w:szCs w:val="24"/>
        </w:rPr>
      </w:pPr>
      <w:r>
        <w:rPr>
          <w:rFonts w:ascii="Arial" w:hAnsi="Arial" w:cs="Arial"/>
          <w:szCs w:val="24"/>
        </w:rPr>
        <w:t>Se generará un código identificativo, asimilable a un número administrativo o a un IUA, para los accesos de Telefónica no identificados por número telefónico.</w:t>
      </w:r>
    </w:p>
    <w:p w:rsidR="00E02C27" w:rsidRDefault="00E02C27">
      <w:pPr>
        <w:pStyle w:val="Textoindependiente"/>
        <w:spacing w:before="60" w:after="60"/>
        <w:ind w:left="431" w:firstLine="22"/>
        <w:rPr>
          <w:rFonts w:ascii="Arial" w:hAnsi="Arial" w:cs="Arial"/>
        </w:rPr>
      </w:pPr>
    </w:p>
    <w:p w:rsidR="00E02C27" w:rsidRDefault="00E02C27" w:rsidP="00AF32C8">
      <w:pPr>
        <w:pStyle w:val="EstiloTtulo3"/>
        <w:rPr>
          <w:iCs/>
        </w:rPr>
      </w:pPr>
      <w:bookmarkStart w:id="49" w:name="_Toc444784457"/>
      <w:r>
        <w:t>Servicio de consulta para identificación de accesos</w:t>
      </w:r>
      <w:bookmarkEnd w:id="49"/>
    </w:p>
    <w:p w:rsidR="00E02C27" w:rsidRDefault="00E02C27">
      <w:pPr>
        <w:pStyle w:val="Textoindependiente"/>
        <w:spacing w:before="60" w:after="60"/>
        <w:ind w:left="431" w:firstLine="22"/>
        <w:rPr>
          <w:rFonts w:ascii="Arial" w:hAnsi="Arial" w:cs="Arial"/>
          <w:szCs w:val="24"/>
          <w:lang w:val="es-ES"/>
        </w:rPr>
      </w:pPr>
      <w:r>
        <w:rPr>
          <w:rFonts w:ascii="Arial" w:hAnsi="Arial" w:cs="Arial"/>
          <w:bCs/>
          <w:iCs/>
          <w:szCs w:val="24"/>
        </w:rPr>
        <w:t>Adicionalmente a lo anterior, se contempla un servicio de consulta basado en WS que permitirá recuperar, con las limitaciones indicadas, información para la identificación del acceso de interés (aplicable a cobre y fibra).</w:t>
      </w:r>
    </w:p>
    <w:p w:rsidR="00E02C27" w:rsidRDefault="00E02C27">
      <w:pPr>
        <w:spacing w:before="60" w:after="60"/>
        <w:ind w:left="426" w:hanging="5"/>
        <w:rPr>
          <w:rFonts w:ascii="Arial" w:hAnsi="Arial" w:cs="Arial"/>
          <w:bCs/>
          <w:iCs/>
          <w:sz w:val="24"/>
          <w:szCs w:val="24"/>
        </w:rPr>
      </w:pPr>
      <w:r>
        <w:rPr>
          <w:rFonts w:ascii="Arial" w:hAnsi="Arial" w:cs="Arial"/>
          <w:bCs/>
          <w:iCs/>
          <w:sz w:val="24"/>
          <w:szCs w:val="24"/>
        </w:rPr>
        <w:t>El servicio de consulta tendrá como datos de entrada el domicilio de cliente en su forma GESCAL apropiada. Por tanto, en primer lugar, el operador deberá obtener el código GESCAL del domicilio mediante el correspondiente WS. Con esta información, se podrá realizar la consulta asociada a ese domicilio.</w:t>
      </w:r>
    </w:p>
    <w:p w:rsidR="00E02C27" w:rsidRDefault="00E02C27">
      <w:pPr>
        <w:spacing w:before="60" w:after="60"/>
        <w:ind w:left="426" w:hanging="5"/>
        <w:rPr>
          <w:rFonts w:ascii="Arial" w:hAnsi="Arial" w:cs="Arial"/>
          <w:bCs/>
          <w:iCs/>
          <w:sz w:val="24"/>
          <w:szCs w:val="24"/>
        </w:rPr>
      </w:pPr>
      <w:r>
        <w:rPr>
          <w:rFonts w:ascii="Arial" w:hAnsi="Arial" w:cs="Arial"/>
          <w:bCs/>
          <w:iCs/>
          <w:sz w:val="24"/>
          <w:szCs w:val="24"/>
        </w:rPr>
        <w:t xml:space="preserve">Los datos de salida tendrán como objetivo facilitar un identificador válido para realizar una solicitud: </w:t>
      </w:r>
    </w:p>
    <w:p w:rsidR="00E02C27" w:rsidRDefault="00E02C27">
      <w:pPr>
        <w:numPr>
          <w:ilvl w:val="0"/>
          <w:numId w:val="30"/>
        </w:numPr>
        <w:tabs>
          <w:tab w:val="clear" w:pos="1593"/>
          <w:tab w:val="num" w:pos="1173"/>
        </w:tabs>
        <w:spacing w:before="60" w:after="60"/>
        <w:ind w:left="1168" w:hanging="357"/>
        <w:rPr>
          <w:rFonts w:ascii="Arial" w:hAnsi="Arial" w:cs="Arial"/>
          <w:bCs/>
          <w:sz w:val="24"/>
          <w:szCs w:val="24"/>
        </w:rPr>
      </w:pPr>
      <w:r>
        <w:rPr>
          <w:rFonts w:ascii="Arial" w:hAnsi="Arial" w:cs="Arial"/>
          <w:bCs/>
          <w:sz w:val="24"/>
          <w:szCs w:val="24"/>
        </w:rPr>
        <w:t xml:space="preserve">Cuando el número de teléfono de </w:t>
      </w:r>
      <w:r w:rsidR="009D686F">
        <w:rPr>
          <w:rFonts w:ascii="Arial" w:hAnsi="Arial" w:cs="Arial"/>
          <w:bCs/>
          <w:sz w:val="24"/>
          <w:szCs w:val="24"/>
        </w:rPr>
        <w:t>Telefónica</w:t>
      </w:r>
      <w:r>
        <w:rPr>
          <w:rFonts w:ascii="Arial" w:hAnsi="Arial" w:cs="Arial"/>
          <w:bCs/>
          <w:sz w:val="24"/>
          <w:szCs w:val="24"/>
        </w:rPr>
        <w:t xml:space="preserve"> no existiera y, por tanto, éste no pudiera utilizarse para una solicitud de acceso indirecto sobre cobre</w:t>
      </w:r>
    </w:p>
    <w:p w:rsidR="00E02C27" w:rsidRDefault="00E02C27">
      <w:pPr>
        <w:numPr>
          <w:ilvl w:val="0"/>
          <w:numId w:val="30"/>
        </w:numPr>
        <w:tabs>
          <w:tab w:val="clear" w:pos="1593"/>
          <w:tab w:val="num" w:pos="1173"/>
        </w:tabs>
        <w:spacing w:before="60" w:after="60"/>
        <w:ind w:left="1168" w:hanging="357"/>
        <w:rPr>
          <w:rFonts w:ascii="Arial" w:hAnsi="Arial" w:cs="Arial"/>
          <w:bCs/>
          <w:sz w:val="24"/>
          <w:szCs w:val="24"/>
        </w:rPr>
      </w:pPr>
      <w:r>
        <w:rPr>
          <w:rFonts w:ascii="Arial" w:hAnsi="Arial" w:cs="Arial"/>
          <w:bCs/>
          <w:sz w:val="24"/>
          <w:szCs w:val="24"/>
        </w:rPr>
        <w:t>Cuando se desee un servicio sobre fibra, en cuyo caso el identificador sería un IUA, si éste existe en el domicilio de interés.</w:t>
      </w:r>
    </w:p>
    <w:p w:rsidR="00E02C27" w:rsidRDefault="00E02C27">
      <w:pPr>
        <w:pStyle w:val="TEXTOTA"/>
        <w:keepLines w:val="0"/>
        <w:spacing w:after="120"/>
        <w:ind w:left="998" w:hanging="545"/>
        <w:rPr>
          <w:rFonts w:cs="Arial"/>
          <w:sz w:val="24"/>
          <w:szCs w:val="24"/>
          <w:lang w:val="es-ES"/>
        </w:rPr>
      </w:pPr>
      <w:r>
        <w:rPr>
          <w:rFonts w:cs="Arial"/>
          <w:sz w:val="24"/>
          <w:szCs w:val="24"/>
          <w:lang w:val="es-ES"/>
        </w:rPr>
        <w:t>En consecuencia los datos de salida serán:</w:t>
      </w:r>
    </w:p>
    <w:p w:rsidR="00E02C27" w:rsidRDefault="00E02C27">
      <w:pPr>
        <w:numPr>
          <w:ilvl w:val="0"/>
          <w:numId w:val="30"/>
        </w:numPr>
        <w:tabs>
          <w:tab w:val="clear" w:pos="1593"/>
          <w:tab w:val="num" w:pos="1173"/>
        </w:tabs>
        <w:spacing w:before="60" w:after="60"/>
        <w:ind w:left="1168" w:hanging="357"/>
        <w:rPr>
          <w:rFonts w:ascii="Arial" w:hAnsi="Arial" w:cs="Arial"/>
          <w:bCs/>
          <w:sz w:val="24"/>
          <w:szCs w:val="24"/>
        </w:rPr>
      </w:pPr>
      <w:r>
        <w:rPr>
          <w:rFonts w:ascii="Arial" w:hAnsi="Arial" w:cs="Arial"/>
          <w:bCs/>
          <w:sz w:val="24"/>
          <w:szCs w:val="24"/>
        </w:rPr>
        <w:t xml:space="preserve">El administrativo o los administrativos correspondientes a uno o varios accesos de cobre con servicios sin STB en ese domicilio. </w:t>
      </w:r>
    </w:p>
    <w:p w:rsidR="00E02C27" w:rsidRDefault="00E02C27">
      <w:pPr>
        <w:numPr>
          <w:ilvl w:val="0"/>
          <w:numId w:val="30"/>
        </w:numPr>
        <w:tabs>
          <w:tab w:val="clear" w:pos="1593"/>
          <w:tab w:val="num" w:pos="1173"/>
        </w:tabs>
        <w:spacing w:before="60" w:after="60"/>
        <w:ind w:left="1168" w:hanging="357"/>
        <w:rPr>
          <w:rFonts w:ascii="Arial" w:hAnsi="Arial" w:cs="Arial"/>
          <w:bCs/>
          <w:sz w:val="24"/>
          <w:szCs w:val="24"/>
        </w:rPr>
      </w:pPr>
      <w:r>
        <w:rPr>
          <w:rFonts w:ascii="Arial" w:hAnsi="Arial" w:cs="Arial"/>
          <w:bCs/>
          <w:sz w:val="24"/>
          <w:szCs w:val="24"/>
        </w:rPr>
        <w:t xml:space="preserve">El número o números de teléfonos de </w:t>
      </w:r>
      <w:r w:rsidR="009D686F">
        <w:rPr>
          <w:rFonts w:ascii="Arial" w:hAnsi="Arial" w:cs="Arial"/>
          <w:bCs/>
          <w:sz w:val="24"/>
          <w:szCs w:val="24"/>
        </w:rPr>
        <w:t>Telefónica</w:t>
      </w:r>
      <w:r>
        <w:rPr>
          <w:rFonts w:ascii="Arial" w:hAnsi="Arial" w:cs="Arial"/>
          <w:bCs/>
          <w:sz w:val="24"/>
          <w:szCs w:val="24"/>
        </w:rPr>
        <w:t xml:space="preserve"> correspondientes a uno o varios  accesos de cobre con servicios de banda ancha con STB en ese domicilio. Si alguno de dichos números de teléfono de Telefónica coexistieran en su acceso con un servicio de banda ancha, se informaría el administrativo asociado en cada caso.</w:t>
      </w:r>
    </w:p>
    <w:p w:rsidR="00E02C27" w:rsidRDefault="00E02C27">
      <w:pPr>
        <w:numPr>
          <w:ilvl w:val="0"/>
          <w:numId w:val="30"/>
        </w:numPr>
        <w:tabs>
          <w:tab w:val="clear" w:pos="1593"/>
          <w:tab w:val="num" w:pos="1173"/>
        </w:tabs>
        <w:spacing w:before="60" w:after="60"/>
        <w:ind w:left="1168" w:hanging="357"/>
        <w:rPr>
          <w:rFonts w:ascii="Arial" w:hAnsi="Arial" w:cs="Arial"/>
          <w:bCs/>
          <w:sz w:val="24"/>
          <w:szCs w:val="24"/>
        </w:rPr>
      </w:pPr>
      <w:r>
        <w:rPr>
          <w:rFonts w:ascii="Arial" w:hAnsi="Arial" w:cs="Arial"/>
          <w:bCs/>
          <w:sz w:val="24"/>
          <w:szCs w:val="24"/>
        </w:rPr>
        <w:t>El IUA o los IUA que pudieran existir en ese domicilio.</w:t>
      </w:r>
    </w:p>
    <w:p w:rsidR="00E02C27" w:rsidRDefault="00E02C27">
      <w:pPr>
        <w:pStyle w:val="TEXTOTA"/>
        <w:keepLines w:val="0"/>
        <w:spacing w:after="120"/>
        <w:ind w:left="431" w:firstLine="22"/>
        <w:rPr>
          <w:rFonts w:cs="Arial"/>
          <w:sz w:val="24"/>
          <w:szCs w:val="24"/>
          <w:lang w:val="es-ES"/>
        </w:rPr>
      </w:pPr>
      <w:r>
        <w:rPr>
          <w:rFonts w:cs="Arial"/>
          <w:sz w:val="24"/>
          <w:szCs w:val="24"/>
          <w:lang w:val="es-ES"/>
        </w:rPr>
        <w:t>En la tabla siguiente se muestran los resultados que aportarán las consultas a la base de datos en función del tipo de acceso y servicio que haya en el domicilio de cliente.</w:t>
      </w:r>
    </w:p>
    <w:p w:rsidR="00E02C27" w:rsidRDefault="00E02C27">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3"/>
        <w:gridCol w:w="6"/>
        <w:gridCol w:w="277"/>
        <w:gridCol w:w="6"/>
        <w:gridCol w:w="1545"/>
        <w:gridCol w:w="6"/>
        <w:gridCol w:w="1695"/>
        <w:gridCol w:w="6"/>
        <w:gridCol w:w="1411"/>
        <w:gridCol w:w="6"/>
        <w:gridCol w:w="3315"/>
        <w:gridCol w:w="13"/>
      </w:tblGrid>
      <w:tr w:rsidR="00E02C27">
        <w:trPr>
          <w:gridAfter w:val="1"/>
          <w:wAfter w:w="13" w:type="dxa"/>
          <w:jc w:val="center"/>
        </w:trPr>
        <w:tc>
          <w:tcPr>
            <w:tcW w:w="923" w:type="dxa"/>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p>
        </w:tc>
        <w:tc>
          <w:tcPr>
            <w:tcW w:w="4952" w:type="dxa"/>
            <w:gridSpan w:val="8"/>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r>
              <w:rPr>
                <w:rFonts w:ascii="Arial" w:hAnsi="Arial" w:cs="Arial"/>
                <w:b/>
                <w:bCs/>
                <w:i/>
                <w:iCs/>
              </w:rPr>
              <w:t>Referencia que se obtendría de la consulta (WS) …</w:t>
            </w:r>
          </w:p>
        </w:tc>
        <w:tc>
          <w:tcPr>
            <w:tcW w:w="3321" w:type="dxa"/>
            <w:gridSpan w:val="2"/>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r>
              <w:rPr>
                <w:rFonts w:ascii="Arial" w:hAnsi="Arial" w:cs="Arial"/>
                <w:b/>
                <w:bCs/>
                <w:i/>
                <w:iCs/>
              </w:rPr>
              <w:t xml:space="preserve">… cuando el servicio existente  en el domicilio sea </w:t>
            </w:r>
          </w:p>
        </w:tc>
      </w:tr>
      <w:tr w:rsidR="00E02C27">
        <w:trPr>
          <w:gridAfter w:val="1"/>
          <w:wAfter w:w="13" w:type="dxa"/>
          <w:jc w:val="center"/>
        </w:trPr>
        <w:tc>
          <w:tcPr>
            <w:tcW w:w="923" w:type="dxa"/>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r>
              <w:rPr>
                <w:rFonts w:ascii="Arial" w:hAnsi="Arial" w:cs="Arial"/>
                <w:b/>
                <w:bCs/>
                <w:i/>
                <w:iCs/>
              </w:rPr>
              <w:t>Acceso</w:t>
            </w:r>
          </w:p>
        </w:tc>
        <w:tc>
          <w:tcPr>
            <w:tcW w:w="283" w:type="dxa"/>
            <w:gridSpan w:val="2"/>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p>
        </w:tc>
        <w:tc>
          <w:tcPr>
            <w:tcW w:w="1551" w:type="dxa"/>
            <w:gridSpan w:val="2"/>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r>
              <w:rPr>
                <w:rFonts w:ascii="Arial" w:hAnsi="Arial" w:cs="Arial"/>
                <w:b/>
                <w:bCs/>
                <w:i/>
                <w:iCs/>
              </w:rPr>
              <w:t>Teléfono</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r>
              <w:rPr>
                <w:rFonts w:ascii="Arial" w:hAnsi="Arial" w:cs="Arial"/>
                <w:b/>
                <w:bCs/>
                <w:i/>
                <w:iCs/>
              </w:rPr>
              <w:t>Administrativo</w:t>
            </w:r>
          </w:p>
        </w:tc>
        <w:tc>
          <w:tcPr>
            <w:tcW w:w="1417" w:type="dxa"/>
            <w:gridSpan w:val="2"/>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r>
              <w:rPr>
                <w:rFonts w:ascii="Arial" w:hAnsi="Arial" w:cs="Arial"/>
                <w:b/>
                <w:bCs/>
                <w:i/>
                <w:iCs/>
              </w:rPr>
              <w:t>IUA</w:t>
            </w:r>
          </w:p>
        </w:tc>
        <w:tc>
          <w:tcPr>
            <w:tcW w:w="3321" w:type="dxa"/>
            <w:gridSpan w:val="2"/>
            <w:tcBorders>
              <w:top w:val="single" w:sz="12" w:space="0" w:color="auto"/>
              <w:left w:val="single" w:sz="12" w:space="0" w:color="auto"/>
              <w:bottom w:val="single" w:sz="12" w:space="0" w:color="auto"/>
              <w:right w:val="single" w:sz="12" w:space="0" w:color="auto"/>
            </w:tcBorders>
            <w:shd w:val="clear" w:color="auto" w:fill="F3F3F3"/>
          </w:tcPr>
          <w:p w:rsidR="00E02C27" w:rsidRDefault="00E02C27">
            <w:pPr>
              <w:ind w:left="0"/>
              <w:jc w:val="center"/>
              <w:rPr>
                <w:rFonts w:ascii="Arial" w:hAnsi="Arial" w:cs="Arial"/>
                <w:b/>
                <w:bCs/>
                <w:i/>
                <w:iCs/>
              </w:rPr>
            </w:pPr>
          </w:p>
        </w:tc>
      </w:tr>
      <w:tr w:rsidR="00E02C27">
        <w:trPr>
          <w:gridAfter w:val="1"/>
          <w:wAfter w:w="13" w:type="dxa"/>
          <w:cantSplit/>
          <w:jc w:val="center"/>
        </w:trPr>
        <w:tc>
          <w:tcPr>
            <w:tcW w:w="929" w:type="dxa"/>
            <w:gridSpan w:val="2"/>
            <w:vMerge w:val="restart"/>
            <w:tcBorders>
              <w:top w:val="single" w:sz="12" w:space="0" w:color="auto"/>
              <w:left w:val="single" w:sz="12" w:space="0" w:color="auto"/>
              <w:right w:val="single" w:sz="12" w:space="0" w:color="auto"/>
            </w:tcBorders>
            <w:shd w:val="clear" w:color="auto" w:fill="F3F3F3"/>
            <w:vAlign w:val="center"/>
          </w:tcPr>
          <w:p w:rsidR="00E02C27" w:rsidRDefault="00E02C27">
            <w:pPr>
              <w:ind w:left="0"/>
              <w:rPr>
                <w:rFonts w:ascii="Arial" w:hAnsi="Arial" w:cs="Arial"/>
              </w:rPr>
            </w:pPr>
            <w:r>
              <w:rPr>
                <w:rFonts w:ascii="Arial" w:hAnsi="Arial" w:cs="Arial"/>
              </w:rPr>
              <w:t>Cobre</w:t>
            </w:r>
          </w:p>
        </w:tc>
        <w:tc>
          <w:tcPr>
            <w:tcW w:w="283"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hAnsi="Arial" w:cs="Arial"/>
              </w:rPr>
            </w:pPr>
          </w:p>
        </w:tc>
        <w:tc>
          <w:tcPr>
            <w:tcW w:w="1551"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hAnsi="Arial" w:cs="Arial"/>
              </w:rPr>
            </w:pPr>
            <w:r>
              <w:rPr>
                <w:rFonts w:ascii="Arial" w:eastAsia="Arial Unicode MS" w:hAnsi="Arial" w:cs="Arial" w:hint="eastAsia"/>
              </w:rPr>
              <w:t>ー</w:t>
            </w:r>
          </w:p>
        </w:tc>
        <w:tc>
          <w:tcPr>
            <w:tcW w:w="1701"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hAnsi="Arial" w:cs="Arial"/>
              </w:rPr>
            </w:pPr>
            <w:r>
              <w:rPr>
                <w:rFonts w:ascii="Arial" w:eastAsia="Arial Unicode MS" w:hAnsi="Arial" w:cs="Arial" w:hint="eastAsia"/>
              </w:rPr>
              <w:t>ー</w:t>
            </w:r>
          </w:p>
        </w:tc>
        <w:tc>
          <w:tcPr>
            <w:tcW w:w="1417"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hAnsi="Arial" w:cs="Arial"/>
              </w:rPr>
            </w:pPr>
            <w:r>
              <w:rPr>
                <w:rFonts w:ascii="Arial" w:eastAsia="Arial Unicode MS" w:hAnsi="Arial" w:cs="Arial" w:hint="eastAsia"/>
              </w:rPr>
              <w:t>ー</w:t>
            </w:r>
          </w:p>
        </w:tc>
        <w:tc>
          <w:tcPr>
            <w:tcW w:w="3315" w:type="dxa"/>
            <w:tcBorders>
              <w:top w:val="single" w:sz="12" w:space="0" w:color="auto"/>
              <w:left w:val="single" w:sz="12" w:space="0" w:color="auto"/>
              <w:right w:val="single" w:sz="12" w:space="0" w:color="auto"/>
            </w:tcBorders>
            <w:vAlign w:val="center"/>
          </w:tcPr>
          <w:p w:rsidR="00E02C27" w:rsidRDefault="00E02C27">
            <w:pPr>
              <w:ind w:left="0"/>
              <w:rPr>
                <w:rFonts w:ascii="Arial" w:hAnsi="Arial" w:cs="Arial"/>
              </w:rPr>
            </w:pPr>
            <w:r>
              <w:rPr>
                <w:rFonts w:ascii="Arial" w:hAnsi="Arial" w:cs="Arial"/>
              </w:rPr>
              <w:t>Sin servicio</w:t>
            </w:r>
          </w:p>
        </w:tc>
      </w:tr>
      <w:tr w:rsidR="00E02C27">
        <w:trPr>
          <w:cantSplit/>
          <w:trHeight w:val="378"/>
          <w:jc w:val="center"/>
        </w:trPr>
        <w:tc>
          <w:tcPr>
            <w:tcW w:w="929" w:type="dxa"/>
            <w:gridSpan w:val="2"/>
            <w:vMerge/>
            <w:tcBorders>
              <w:left w:val="single" w:sz="12" w:space="0" w:color="auto"/>
              <w:right w:val="single" w:sz="12" w:space="0" w:color="auto"/>
            </w:tcBorders>
            <w:shd w:val="clear" w:color="auto" w:fill="F3F3F3"/>
            <w:vAlign w:val="center"/>
          </w:tcPr>
          <w:p w:rsidR="00E02C27" w:rsidRDefault="00E02C27">
            <w:pPr>
              <w:jc w:val="center"/>
              <w:rPr>
                <w:rFonts w:ascii="Arial" w:hAnsi="Arial" w:cs="Arial"/>
              </w:rPr>
            </w:pPr>
          </w:p>
        </w:tc>
        <w:tc>
          <w:tcPr>
            <w:tcW w:w="283"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p>
        </w:tc>
        <w:tc>
          <w:tcPr>
            <w:tcW w:w="1551"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r>
              <w:rPr>
                <w:rFonts w:ascii="Arial" w:eastAsia="Arial Unicode MS" w:hAnsi="Arial" w:cs="Arial" w:hint="eastAsia"/>
              </w:rPr>
              <w:t>ー</w:t>
            </w:r>
          </w:p>
        </w:tc>
        <w:tc>
          <w:tcPr>
            <w:tcW w:w="1701"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w:t>
            </w:r>
          </w:p>
        </w:tc>
        <w:tc>
          <w:tcPr>
            <w:tcW w:w="1417"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ー</w:t>
            </w:r>
          </w:p>
        </w:tc>
        <w:tc>
          <w:tcPr>
            <w:tcW w:w="3328" w:type="dxa"/>
            <w:gridSpan w:val="2"/>
            <w:tcBorders>
              <w:left w:val="single" w:sz="12" w:space="0" w:color="auto"/>
              <w:right w:val="single" w:sz="12" w:space="0" w:color="auto"/>
            </w:tcBorders>
            <w:vAlign w:val="center"/>
          </w:tcPr>
          <w:p w:rsidR="00E02C27" w:rsidRDefault="00E02C27">
            <w:pPr>
              <w:ind w:left="0"/>
              <w:jc w:val="left"/>
              <w:rPr>
                <w:rFonts w:ascii="Arial" w:hAnsi="Arial" w:cs="Arial"/>
              </w:rPr>
            </w:pPr>
            <w:r>
              <w:rPr>
                <w:rFonts w:ascii="Arial" w:hAnsi="Arial" w:cs="Arial"/>
              </w:rPr>
              <w:t>Desagregado, cualquier servicio sin STB (compartido sin STB, indirecto sin STB)</w:t>
            </w:r>
          </w:p>
        </w:tc>
      </w:tr>
      <w:tr w:rsidR="00E02C27">
        <w:trPr>
          <w:cantSplit/>
          <w:jc w:val="center"/>
        </w:trPr>
        <w:tc>
          <w:tcPr>
            <w:tcW w:w="929" w:type="dxa"/>
            <w:gridSpan w:val="2"/>
            <w:vMerge/>
            <w:tcBorders>
              <w:left w:val="single" w:sz="12" w:space="0" w:color="auto"/>
              <w:right w:val="single" w:sz="12" w:space="0" w:color="auto"/>
            </w:tcBorders>
            <w:shd w:val="clear" w:color="auto" w:fill="F3F3F3"/>
            <w:vAlign w:val="center"/>
          </w:tcPr>
          <w:p w:rsidR="00E02C27" w:rsidRDefault="00E02C27">
            <w:pPr>
              <w:jc w:val="center"/>
              <w:rPr>
                <w:rFonts w:ascii="Arial" w:hAnsi="Arial" w:cs="Arial"/>
              </w:rPr>
            </w:pPr>
          </w:p>
        </w:tc>
        <w:tc>
          <w:tcPr>
            <w:tcW w:w="283"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p>
        </w:tc>
        <w:tc>
          <w:tcPr>
            <w:tcW w:w="1551"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r>
              <w:rPr>
                <w:rFonts w:ascii="Arial" w:eastAsia="Arial Unicode MS" w:hAnsi="Arial" w:cs="Arial" w:hint="eastAsia"/>
              </w:rPr>
              <w:t>✓</w:t>
            </w:r>
          </w:p>
        </w:tc>
        <w:tc>
          <w:tcPr>
            <w:tcW w:w="1701"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rPr>
              <w:t xml:space="preserve"> </w:t>
            </w:r>
            <w:r>
              <w:rPr>
                <w:rFonts w:ascii="Arial" w:eastAsia="Arial Unicode MS" w:hAnsi="Arial" w:cs="Arial" w:hint="eastAsia"/>
              </w:rPr>
              <w:t>ー</w:t>
            </w:r>
          </w:p>
        </w:tc>
        <w:tc>
          <w:tcPr>
            <w:tcW w:w="1417"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ー</w:t>
            </w:r>
          </w:p>
        </w:tc>
        <w:tc>
          <w:tcPr>
            <w:tcW w:w="3328" w:type="dxa"/>
            <w:gridSpan w:val="2"/>
            <w:tcBorders>
              <w:left w:val="single" w:sz="12" w:space="0" w:color="auto"/>
              <w:right w:val="single" w:sz="12" w:space="0" w:color="auto"/>
            </w:tcBorders>
            <w:vAlign w:val="center"/>
          </w:tcPr>
          <w:p w:rsidR="00E02C27" w:rsidRDefault="00E02C27">
            <w:pPr>
              <w:ind w:left="0"/>
              <w:rPr>
                <w:rFonts w:ascii="Arial" w:hAnsi="Arial" w:cs="Arial"/>
              </w:rPr>
            </w:pPr>
            <w:r>
              <w:rPr>
                <w:rFonts w:ascii="Arial" w:hAnsi="Arial" w:cs="Arial"/>
              </w:rPr>
              <w:t xml:space="preserve">STB de </w:t>
            </w:r>
            <w:r w:rsidR="009D686F">
              <w:rPr>
                <w:rFonts w:ascii="Arial" w:hAnsi="Arial" w:cs="Arial"/>
              </w:rPr>
              <w:t>Telefónica</w:t>
            </w:r>
          </w:p>
        </w:tc>
      </w:tr>
      <w:tr w:rsidR="00E02C27">
        <w:trPr>
          <w:cantSplit/>
          <w:jc w:val="center"/>
        </w:trPr>
        <w:tc>
          <w:tcPr>
            <w:tcW w:w="929" w:type="dxa"/>
            <w:gridSpan w:val="2"/>
            <w:tcBorders>
              <w:left w:val="single" w:sz="12" w:space="0" w:color="auto"/>
              <w:right w:val="single" w:sz="12" w:space="0" w:color="auto"/>
            </w:tcBorders>
            <w:shd w:val="clear" w:color="auto" w:fill="F3F3F3"/>
            <w:vAlign w:val="center"/>
          </w:tcPr>
          <w:p w:rsidR="00E02C27" w:rsidRDefault="00E02C27">
            <w:pPr>
              <w:jc w:val="center"/>
              <w:rPr>
                <w:rFonts w:ascii="Arial" w:hAnsi="Arial" w:cs="Arial"/>
              </w:rPr>
            </w:pPr>
          </w:p>
        </w:tc>
        <w:tc>
          <w:tcPr>
            <w:tcW w:w="283"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p>
        </w:tc>
        <w:tc>
          <w:tcPr>
            <w:tcW w:w="1551"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w:t>
            </w:r>
          </w:p>
        </w:tc>
        <w:tc>
          <w:tcPr>
            <w:tcW w:w="1701"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w:t>
            </w:r>
          </w:p>
        </w:tc>
        <w:tc>
          <w:tcPr>
            <w:tcW w:w="1417"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p>
        </w:tc>
        <w:tc>
          <w:tcPr>
            <w:tcW w:w="3328" w:type="dxa"/>
            <w:gridSpan w:val="2"/>
            <w:tcBorders>
              <w:left w:val="single" w:sz="12" w:space="0" w:color="auto"/>
              <w:right w:val="single" w:sz="12" w:space="0" w:color="auto"/>
            </w:tcBorders>
            <w:vAlign w:val="center"/>
          </w:tcPr>
          <w:p w:rsidR="00E02C27" w:rsidRDefault="00E02C27">
            <w:pPr>
              <w:ind w:left="0"/>
              <w:rPr>
                <w:rFonts w:ascii="Arial" w:hAnsi="Arial" w:cs="Arial"/>
              </w:rPr>
            </w:pPr>
            <w:r>
              <w:rPr>
                <w:rFonts w:ascii="Arial" w:hAnsi="Arial" w:cs="Arial"/>
              </w:rPr>
              <w:t xml:space="preserve">STB de </w:t>
            </w:r>
            <w:r w:rsidR="009D686F">
              <w:rPr>
                <w:rFonts w:ascii="Arial" w:hAnsi="Arial" w:cs="Arial"/>
              </w:rPr>
              <w:t>Telefónica</w:t>
            </w:r>
            <w:r>
              <w:rPr>
                <w:rFonts w:ascii="Arial" w:hAnsi="Arial" w:cs="Arial"/>
              </w:rPr>
              <w:t xml:space="preserve"> y servicio de BA o servicio de bucle compartido </w:t>
            </w:r>
          </w:p>
        </w:tc>
      </w:tr>
      <w:tr w:rsidR="00E02C27">
        <w:trPr>
          <w:gridAfter w:val="1"/>
          <w:wAfter w:w="13" w:type="dxa"/>
          <w:cantSplit/>
          <w:jc w:val="center"/>
        </w:trPr>
        <w:tc>
          <w:tcPr>
            <w:tcW w:w="929" w:type="dxa"/>
            <w:gridSpan w:val="2"/>
            <w:vMerge w:val="restart"/>
            <w:tcBorders>
              <w:top w:val="single" w:sz="12" w:space="0" w:color="auto"/>
              <w:left w:val="single" w:sz="12" w:space="0" w:color="auto"/>
              <w:right w:val="single" w:sz="12" w:space="0" w:color="auto"/>
            </w:tcBorders>
            <w:shd w:val="clear" w:color="auto" w:fill="F3F3F3"/>
            <w:vAlign w:val="center"/>
          </w:tcPr>
          <w:p w:rsidR="00E02C27" w:rsidRDefault="00E02C27">
            <w:pPr>
              <w:ind w:left="0"/>
              <w:rPr>
                <w:rFonts w:ascii="Arial" w:hAnsi="Arial" w:cs="Arial"/>
                <w:lang w:val="en-GB"/>
              </w:rPr>
            </w:pPr>
            <w:r>
              <w:rPr>
                <w:rFonts w:ascii="Arial" w:hAnsi="Arial" w:cs="Arial"/>
                <w:lang w:val="en-GB"/>
              </w:rPr>
              <w:t>FTTH</w:t>
            </w:r>
          </w:p>
        </w:tc>
        <w:tc>
          <w:tcPr>
            <w:tcW w:w="283"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hAnsi="Arial" w:cs="Arial"/>
                <w:lang w:val="en-GB"/>
              </w:rPr>
            </w:pPr>
          </w:p>
        </w:tc>
        <w:tc>
          <w:tcPr>
            <w:tcW w:w="1551"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hAnsi="Arial" w:cs="Arial"/>
                <w:lang w:val="en-GB"/>
              </w:rPr>
            </w:pPr>
            <w:r>
              <w:rPr>
                <w:rFonts w:ascii="Arial" w:eastAsia="Arial Unicode MS" w:hAnsi="Arial" w:cs="Arial" w:hint="eastAsia"/>
              </w:rPr>
              <w:t>ー</w:t>
            </w:r>
          </w:p>
        </w:tc>
        <w:tc>
          <w:tcPr>
            <w:tcW w:w="1701"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eastAsia="Arial Unicode MS" w:hAnsi="Arial" w:cs="Arial"/>
                <w:lang w:val="en-GB"/>
              </w:rPr>
            </w:pPr>
            <w:r>
              <w:rPr>
                <w:rFonts w:ascii="Arial" w:eastAsia="Arial Unicode MS" w:hAnsi="Arial" w:cs="Arial" w:hint="eastAsia"/>
              </w:rPr>
              <w:t>ー</w:t>
            </w:r>
          </w:p>
        </w:tc>
        <w:tc>
          <w:tcPr>
            <w:tcW w:w="1417" w:type="dxa"/>
            <w:gridSpan w:val="2"/>
            <w:tcBorders>
              <w:top w:val="single" w:sz="12" w:space="0" w:color="auto"/>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rPr>
              <w:t xml:space="preserve">_ </w:t>
            </w:r>
          </w:p>
        </w:tc>
        <w:tc>
          <w:tcPr>
            <w:tcW w:w="3315" w:type="dxa"/>
            <w:tcBorders>
              <w:top w:val="single" w:sz="12" w:space="0" w:color="auto"/>
              <w:left w:val="single" w:sz="12" w:space="0" w:color="auto"/>
              <w:right w:val="single" w:sz="12" w:space="0" w:color="auto"/>
            </w:tcBorders>
            <w:vAlign w:val="center"/>
          </w:tcPr>
          <w:p w:rsidR="00E02C27" w:rsidRDefault="00E02C27">
            <w:pPr>
              <w:ind w:left="0"/>
              <w:rPr>
                <w:rFonts w:ascii="Arial" w:hAnsi="Arial" w:cs="Arial"/>
              </w:rPr>
            </w:pPr>
            <w:r>
              <w:rPr>
                <w:rFonts w:ascii="Arial" w:hAnsi="Arial" w:cs="Arial"/>
              </w:rPr>
              <w:t>Sin servicio</w:t>
            </w:r>
          </w:p>
        </w:tc>
      </w:tr>
      <w:tr w:rsidR="00E02C27">
        <w:trPr>
          <w:cantSplit/>
          <w:jc w:val="center"/>
        </w:trPr>
        <w:tc>
          <w:tcPr>
            <w:tcW w:w="929" w:type="dxa"/>
            <w:gridSpan w:val="2"/>
            <w:vMerge/>
            <w:tcBorders>
              <w:left w:val="single" w:sz="12" w:space="0" w:color="auto"/>
              <w:right w:val="single" w:sz="12" w:space="0" w:color="auto"/>
            </w:tcBorders>
            <w:shd w:val="clear" w:color="auto" w:fill="F3F3F3"/>
          </w:tcPr>
          <w:p w:rsidR="00E02C27" w:rsidRDefault="00E02C27">
            <w:pPr>
              <w:jc w:val="center"/>
              <w:rPr>
                <w:rFonts w:ascii="Arial" w:hAnsi="Arial" w:cs="Arial"/>
              </w:rPr>
            </w:pPr>
          </w:p>
        </w:tc>
        <w:tc>
          <w:tcPr>
            <w:tcW w:w="283"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p>
        </w:tc>
        <w:tc>
          <w:tcPr>
            <w:tcW w:w="1551" w:type="dxa"/>
            <w:gridSpan w:val="2"/>
            <w:tcBorders>
              <w:left w:val="single" w:sz="12" w:space="0" w:color="auto"/>
              <w:right w:val="single" w:sz="12" w:space="0" w:color="auto"/>
            </w:tcBorders>
            <w:vAlign w:val="center"/>
          </w:tcPr>
          <w:p w:rsidR="00E02C27" w:rsidRDefault="00E02C27">
            <w:pPr>
              <w:ind w:left="0"/>
              <w:jc w:val="center"/>
              <w:rPr>
                <w:rFonts w:ascii="Arial" w:hAnsi="Arial" w:cs="Arial"/>
              </w:rPr>
            </w:pPr>
            <w:r>
              <w:rPr>
                <w:rFonts w:ascii="Arial" w:eastAsia="Arial Unicode MS" w:hAnsi="Arial" w:cs="Arial" w:hint="eastAsia"/>
              </w:rPr>
              <w:t>ー</w:t>
            </w:r>
          </w:p>
        </w:tc>
        <w:tc>
          <w:tcPr>
            <w:tcW w:w="1701"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ー</w:t>
            </w:r>
          </w:p>
        </w:tc>
        <w:tc>
          <w:tcPr>
            <w:tcW w:w="1417" w:type="dxa"/>
            <w:gridSpan w:val="2"/>
            <w:tcBorders>
              <w:left w:val="single" w:sz="12" w:space="0" w:color="auto"/>
              <w:right w:val="single" w:sz="12" w:space="0" w:color="auto"/>
            </w:tcBorders>
            <w:vAlign w:val="center"/>
          </w:tcPr>
          <w:p w:rsidR="00E02C27" w:rsidRDefault="00E02C27">
            <w:pPr>
              <w:ind w:left="0"/>
              <w:jc w:val="center"/>
              <w:rPr>
                <w:rFonts w:ascii="Arial" w:eastAsia="Arial Unicode MS" w:hAnsi="Arial" w:cs="Arial"/>
              </w:rPr>
            </w:pPr>
            <w:r>
              <w:rPr>
                <w:rFonts w:ascii="Arial" w:eastAsia="Arial Unicode MS" w:hAnsi="Arial" w:cs="Arial" w:hint="eastAsia"/>
              </w:rPr>
              <w:t>✓</w:t>
            </w:r>
            <w:r>
              <w:rPr>
                <w:rFonts w:ascii="Arial" w:eastAsia="Arial Unicode MS" w:hAnsi="Arial" w:cs="Arial"/>
              </w:rPr>
              <w:t xml:space="preserve"> (Nota 1)</w:t>
            </w:r>
          </w:p>
        </w:tc>
        <w:tc>
          <w:tcPr>
            <w:tcW w:w="3328" w:type="dxa"/>
            <w:gridSpan w:val="2"/>
            <w:tcBorders>
              <w:left w:val="single" w:sz="12" w:space="0" w:color="auto"/>
              <w:right w:val="single" w:sz="12" w:space="0" w:color="auto"/>
            </w:tcBorders>
            <w:vAlign w:val="center"/>
          </w:tcPr>
          <w:p w:rsidR="00E02C27" w:rsidRDefault="00E02C27">
            <w:pPr>
              <w:ind w:left="0"/>
              <w:rPr>
                <w:rFonts w:ascii="Arial" w:hAnsi="Arial" w:cs="Arial"/>
              </w:rPr>
            </w:pPr>
            <w:r>
              <w:rPr>
                <w:rFonts w:ascii="Arial" w:hAnsi="Arial" w:cs="Arial"/>
              </w:rPr>
              <w:t>En servicio</w:t>
            </w:r>
          </w:p>
        </w:tc>
      </w:tr>
    </w:tbl>
    <w:p w:rsidR="00E02C27" w:rsidRPr="006F3E19" w:rsidRDefault="00E02C27">
      <w:pPr>
        <w:ind w:left="1418" w:hanging="545"/>
        <w:rPr>
          <w:rFonts w:ascii="Arial" w:hAnsi="Arial" w:cs="Arial"/>
          <w:sz w:val="16"/>
          <w:szCs w:val="16"/>
        </w:rPr>
      </w:pPr>
    </w:p>
    <w:p w:rsidR="00E02C27" w:rsidRDefault="00E02C27">
      <w:pPr>
        <w:spacing w:before="60" w:after="60"/>
        <w:ind w:left="851"/>
        <w:rPr>
          <w:rFonts w:ascii="Arial" w:hAnsi="Arial" w:cs="Arial"/>
        </w:rPr>
      </w:pPr>
      <w:r>
        <w:rPr>
          <w:rFonts w:ascii="Arial" w:hAnsi="Arial" w:cs="Arial"/>
        </w:rPr>
        <w:t xml:space="preserve">Nota 1: se informará IUA en domicilios con servicio de </w:t>
      </w:r>
      <w:r w:rsidR="009D686F">
        <w:rPr>
          <w:rFonts w:ascii="Arial" w:hAnsi="Arial" w:cs="Arial"/>
        </w:rPr>
        <w:t>Telefónica</w:t>
      </w:r>
      <w:r>
        <w:rPr>
          <w:rFonts w:ascii="Arial" w:hAnsi="Arial" w:cs="Arial"/>
        </w:rPr>
        <w:t>, ya sea mayorista o minorista</w:t>
      </w:r>
    </w:p>
    <w:p w:rsidR="00E02C27" w:rsidRDefault="00E02C27" w:rsidP="00B906ED">
      <w:pPr>
        <w:spacing w:before="240" w:after="60"/>
        <w:ind w:left="426" w:hanging="6"/>
        <w:rPr>
          <w:rFonts w:ascii="Arial" w:hAnsi="Arial" w:cs="Arial"/>
          <w:bCs/>
          <w:iCs/>
          <w:sz w:val="24"/>
          <w:szCs w:val="24"/>
        </w:rPr>
      </w:pPr>
      <w:r>
        <w:rPr>
          <w:rFonts w:ascii="Arial" w:hAnsi="Arial" w:cs="Arial"/>
          <w:bCs/>
          <w:iCs/>
          <w:sz w:val="24"/>
          <w:szCs w:val="24"/>
        </w:rPr>
        <w:t>En el caso de altas sobre vacante, la identificación del acceso se realizará exclusivamente por código GESCAL. Para ello, previamente a realizar la solicitud el operador debe recuperar el código GESCAL del domicilio de interés mediante los web services de consulta a GESCAL.</w:t>
      </w:r>
    </w:p>
    <w:p w:rsidR="00E02C27" w:rsidRDefault="00E02C27">
      <w:pPr>
        <w:spacing w:before="60" w:after="60"/>
        <w:ind w:left="426" w:hanging="5"/>
        <w:rPr>
          <w:rFonts w:ascii="Arial" w:hAnsi="Arial" w:cs="Arial"/>
          <w:bCs/>
          <w:iCs/>
          <w:sz w:val="24"/>
          <w:szCs w:val="24"/>
        </w:rPr>
      </w:pPr>
      <w:r>
        <w:rPr>
          <w:rFonts w:ascii="Arial" w:hAnsi="Arial" w:cs="Arial"/>
          <w:bCs/>
          <w:iCs/>
          <w:sz w:val="24"/>
          <w:szCs w:val="24"/>
        </w:rPr>
        <w:t xml:space="preserve">En el anexo 2 se detalla la forma de utilización del código GESCAL para la identificación del domicilio en las solicitudes de alta sobre vacante, así como el procedimiento para el alta de códigos GESCAL directamente por los </w:t>
      </w:r>
      <w:r w:rsidR="00A41886">
        <w:rPr>
          <w:rFonts w:ascii="Arial" w:hAnsi="Arial" w:cs="Arial"/>
          <w:bCs/>
          <w:iCs/>
          <w:sz w:val="24"/>
          <w:szCs w:val="24"/>
        </w:rPr>
        <w:t>operadores</w:t>
      </w:r>
      <w:r>
        <w:rPr>
          <w:rFonts w:ascii="Arial" w:hAnsi="Arial" w:cs="Arial"/>
          <w:bCs/>
          <w:iCs/>
          <w:sz w:val="24"/>
          <w:szCs w:val="24"/>
        </w:rPr>
        <w:t>.</w:t>
      </w:r>
    </w:p>
    <w:p w:rsidR="00E02C27" w:rsidRDefault="005E411E">
      <w:pPr>
        <w:spacing w:before="60" w:after="60"/>
        <w:ind w:left="426" w:hanging="5"/>
        <w:rPr>
          <w:rFonts w:ascii="Arial" w:hAnsi="Arial" w:cs="Arial"/>
          <w:bCs/>
          <w:iCs/>
          <w:sz w:val="24"/>
          <w:szCs w:val="24"/>
        </w:rPr>
      </w:pPr>
      <w:r>
        <w:rPr>
          <w:rFonts w:ascii="Arial" w:hAnsi="Arial" w:cs="Arial"/>
          <w:bCs/>
          <w:iCs/>
          <w:sz w:val="24"/>
          <w:szCs w:val="24"/>
        </w:rPr>
        <w:t xml:space="preserve">De forma complementaria, tanto Telefónica como los operadores que hagan uso del servicio NEBA FTTH deberán </w:t>
      </w:r>
      <w:r w:rsidR="00F4384B">
        <w:rPr>
          <w:rFonts w:ascii="Arial" w:hAnsi="Arial" w:cs="Arial"/>
          <w:bCs/>
          <w:iCs/>
          <w:sz w:val="24"/>
          <w:szCs w:val="24"/>
        </w:rPr>
        <w:t>consignar</w:t>
      </w:r>
      <w:r>
        <w:rPr>
          <w:rFonts w:ascii="Arial" w:hAnsi="Arial" w:cs="Arial"/>
          <w:bCs/>
          <w:iCs/>
          <w:sz w:val="24"/>
          <w:szCs w:val="24"/>
        </w:rPr>
        <w:t xml:space="preserve"> el IUA </w:t>
      </w:r>
      <w:r w:rsidR="00F4384B">
        <w:rPr>
          <w:rFonts w:ascii="Arial" w:hAnsi="Arial" w:cs="Arial"/>
          <w:bCs/>
          <w:iCs/>
          <w:sz w:val="24"/>
          <w:szCs w:val="24"/>
        </w:rPr>
        <w:t xml:space="preserve">de las conexiones FTTH activas </w:t>
      </w:r>
      <w:r>
        <w:rPr>
          <w:rFonts w:ascii="Arial" w:hAnsi="Arial" w:cs="Arial"/>
          <w:bCs/>
          <w:iCs/>
          <w:sz w:val="24"/>
          <w:szCs w:val="24"/>
        </w:rPr>
        <w:t>en la</w:t>
      </w:r>
      <w:r w:rsidR="00F4384B">
        <w:rPr>
          <w:rFonts w:ascii="Arial" w:hAnsi="Arial" w:cs="Arial"/>
          <w:bCs/>
          <w:iCs/>
          <w:sz w:val="24"/>
          <w:szCs w:val="24"/>
        </w:rPr>
        <w:t>s</w:t>
      </w:r>
      <w:r>
        <w:rPr>
          <w:rFonts w:ascii="Arial" w:hAnsi="Arial" w:cs="Arial"/>
          <w:bCs/>
          <w:iCs/>
          <w:sz w:val="24"/>
          <w:szCs w:val="24"/>
        </w:rPr>
        <w:t xml:space="preserve"> facturas de sus clientes minoristas.</w:t>
      </w:r>
    </w:p>
    <w:p w:rsidR="00E02C27" w:rsidRDefault="00E02C27" w:rsidP="00AF32C8">
      <w:pPr>
        <w:pStyle w:val="EstiloTtulo3"/>
      </w:pPr>
      <w:bookmarkStart w:id="50" w:name="_Toc444784458"/>
      <w:r>
        <w:t>Identificador Único de Acceso (IUA). Definiciones y formato</w:t>
      </w:r>
      <w:bookmarkEnd w:id="50"/>
    </w:p>
    <w:p w:rsidR="00E02C27" w:rsidRDefault="00E02C27">
      <w:pPr>
        <w:spacing w:before="120" w:after="120"/>
        <w:ind w:left="0"/>
        <w:rPr>
          <w:rFonts w:ascii="Arial" w:hAnsi="Arial" w:cs="Arial"/>
          <w:sz w:val="24"/>
          <w:szCs w:val="24"/>
        </w:rPr>
      </w:pPr>
      <w:r>
        <w:rPr>
          <w:rFonts w:ascii="Arial" w:hAnsi="Arial" w:cs="Arial"/>
          <w:sz w:val="24"/>
          <w:szCs w:val="24"/>
        </w:rPr>
        <w:t xml:space="preserve">El </w:t>
      </w:r>
      <w:r>
        <w:rPr>
          <w:rFonts w:ascii="Arial" w:hAnsi="Arial" w:cs="Arial"/>
          <w:i/>
          <w:iCs/>
          <w:sz w:val="24"/>
          <w:szCs w:val="24"/>
        </w:rPr>
        <w:t xml:space="preserve">Identificador Único de Acceso </w:t>
      </w:r>
      <w:r>
        <w:rPr>
          <w:rFonts w:ascii="Arial" w:hAnsi="Arial" w:cs="Arial"/>
          <w:sz w:val="24"/>
          <w:szCs w:val="24"/>
        </w:rPr>
        <w:t xml:space="preserve">(en adelante IUA) es una clave que identifica de forma unívoca el punto de terminación de red de un acceso físico de un servicio de telecomunicaciones con interfaz óptico. </w:t>
      </w:r>
    </w:p>
    <w:p w:rsidR="00E02C27" w:rsidRDefault="00E02C27">
      <w:pPr>
        <w:spacing w:before="120" w:after="120"/>
        <w:ind w:left="0"/>
        <w:rPr>
          <w:rFonts w:ascii="Arial" w:hAnsi="Arial" w:cs="Arial"/>
          <w:sz w:val="24"/>
          <w:szCs w:val="24"/>
        </w:rPr>
      </w:pPr>
      <w:r>
        <w:rPr>
          <w:rFonts w:ascii="Arial" w:hAnsi="Arial" w:cs="Arial"/>
          <w:sz w:val="24"/>
          <w:szCs w:val="24"/>
        </w:rPr>
        <w:t>Más en concreto, el IUA identifica el punto de entrega del servicio que en la arquitectura FTTH se corresponde con el extremo en domicilio de cliente del tramo entre la caja que aloja el último divisor (CTO, caja terminal óptica) y el punto de terminación del acceso (PTRO, punto de terminación de red óptico), es decir, el IUA identifica el segmento de cable de fibra óptica final de la acometida y el punto final de entrega (PTRO).</w:t>
      </w:r>
    </w:p>
    <w:p w:rsidR="00E02C27" w:rsidRDefault="00E02C27">
      <w:pPr>
        <w:spacing w:before="120" w:after="120"/>
        <w:ind w:left="0"/>
        <w:rPr>
          <w:rFonts w:ascii="Arial" w:hAnsi="Arial" w:cs="Arial"/>
          <w:b/>
          <w:i/>
          <w:sz w:val="24"/>
          <w:szCs w:val="24"/>
        </w:rPr>
      </w:pPr>
      <w:r>
        <w:rPr>
          <w:rFonts w:ascii="Arial" w:hAnsi="Arial" w:cs="Arial"/>
          <w:b/>
          <w:i/>
          <w:sz w:val="24"/>
          <w:szCs w:val="24"/>
        </w:rPr>
        <w:t>Definiciones</w:t>
      </w:r>
    </w:p>
    <w:p w:rsidR="00E02C27" w:rsidRDefault="00E02C27" w:rsidP="00366749">
      <w:pPr>
        <w:numPr>
          <w:ilvl w:val="0"/>
          <w:numId w:val="19"/>
        </w:numPr>
        <w:tabs>
          <w:tab w:val="clear" w:pos="1224"/>
        </w:tabs>
        <w:ind w:left="1417" w:hanging="544"/>
        <w:rPr>
          <w:rFonts w:ascii="Arial" w:hAnsi="Arial" w:cs="Arial"/>
          <w:sz w:val="24"/>
          <w:szCs w:val="24"/>
        </w:rPr>
      </w:pPr>
      <w:r>
        <w:rPr>
          <w:rFonts w:ascii="Arial" w:hAnsi="Arial" w:cs="Arial"/>
          <w:sz w:val="24"/>
          <w:szCs w:val="24"/>
        </w:rPr>
        <w:t>PTRO: Punto de Terminación de Red Óptico</w:t>
      </w:r>
    </w:p>
    <w:p w:rsidR="00E02C27" w:rsidRDefault="00E02C27">
      <w:pPr>
        <w:numPr>
          <w:ilvl w:val="0"/>
          <w:numId w:val="19"/>
        </w:numPr>
        <w:tabs>
          <w:tab w:val="clear" w:pos="1224"/>
        </w:tabs>
        <w:spacing w:before="120" w:after="120"/>
        <w:ind w:left="1418" w:hanging="545"/>
        <w:rPr>
          <w:rFonts w:ascii="Arial" w:hAnsi="Arial" w:cs="Arial"/>
          <w:sz w:val="24"/>
          <w:szCs w:val="24"/>
        </w:rPr>
      </w:pPr>
      <w:r>
        <w:rPr>
          <w:rFonts w:ascii="Arial" w:hAnsi="Arial" w:cs="Arial"/>
          <w:sz w:val="24"/>
          <w:szCs w:val="24"/>
        </w:rPr>
        <w:t>CTO: Caja Terminal Óptica</w:t>
      </w:r>
    </w:p>
    <w:p w:rsidR="00E02C27" w:rsidRDefault="00E02C27" w:rsidP="00366749">
      <w:pPr>
        <w:numPr>
          <w:ilvl w:val="0"/>
          <w:numId w:val="19"/>
        </w:numPr>
        <w:tabs>
          <w:tab w:val="clear" w:pos="1224"/>
        </w:tabs>
        <w:spacing w:after="120"/>
        <w:ind w:left="1417" w:hanging="544"/>
        <w:rPr>
          <w:rFonts w:ascii="Arial" w:hAnsi="Arial" w:cs="Arial"/>
          <w:sz w:val="24"/>
          <w:szCs w:val="24"/>
        </w:rPr>
      </w:pPr>
      <w:r>
        <w:rPr>
          <w:rFonts w:ascii="Arial" w:hAnsi="Arial" w:cs="Arial"/>
          <w:sz w:val="24"/>
          <w:szCs w:val="24"/>
        </w:rPr>
        <w:t>Número Administrativo: identificador comercial que utiliza Telefónica en servicios de datos</w:t>
      </w:r>
      <w:r>
        <w:rPr>
          <w:rStyle w:val="Refdenotaalpie"/>
          <w:rFonts w:ascii="Arial" w:hAnsi="Arial" w:cs="Arial"/>
          <w:sz w:val="24"/>
          <w:szCs w:val="24"/>
        </w:rPr>
        <w:footnoteReference w:id="6"/>
      </w:r>
      <w:r>
        <w:rPr>
          <w:rFonts w:ascii="Arial" w:hAnsi="Arial" w:cs="Arial"/>
          <w:sz w:val="24"/>
          <w:szCs w:val="24"/>
        </w:rPr>
        <w:t xml:space="preserve">. </w:t>
      </w:r>
    </w:p>
    <w:p w:rsidR="00E02C27" w:rsidRDefault="00E02C27" w:rsidP="00366749">
      <w:pPr>
        <w:keepNext/>
        <w:spacing w:before="120" w:after="240"/>
        <w:ind w:left="0"/>
        <w:rPr>
          <w:rFonts w:ascii="Arial" w:hAnsi="Arial" w:cs="Arial"/>
          <w:sz w:val="24"/>
          <w:szCs w:val="24"/>
        </w:rPr>
      </w:pPr>
      <w:r>
        <w:rPr>
          <w:rFonts w:ascii="Arial" w:hAnsi="Arial" w:cs="Arial"/>
          <w:sz w:val="24"/>
          <w:szCs w:val="24"/>
        </w:rPr>
        <w:t xml:space="preserve">En la figura siguiente se refleja gráficamente la descripción del IUA sobre el que se construirán los servicios de cualquier Operador. El IUA está vinculado a la existencia de un </w:t>
      </w:r>
      <w:r>
        <w:rPr>
          <w:rFonts w:ascii="Arial" w:hAnsi="Arial" w:cs="Arial"/>
          <w:i/>
          <w:iCs/>
          <w:sz w:val="24"/>
          <w:szCs w:val="24"/>
        </w:rPr>
        <w:t>Punto de Terminación de Red Óptico</w:t>
      </w:r>
      <w:r>
        <w:rPr>
          <w:rFonts w:ascii="Arial" w:hAnsi="Arial" w:cs="Arial"/>
          <w:sz w:val="24"/>
          <w:szCs w:val="24"/>
        </w:rPr>
        <w:t>, en adelante</w:t>
      </w:r>
      <w:r>
        <w:rPr>
          <w:rFonts w:ascii="Arial" w:hAnsi="Arial" w:cs="Arial"/>
          <w:i/>
          <w:iCs/>
          <w:strike/>
          <w:color w:val="FF0000"/>
          <w:sz w:val="24"/>
          <w:szCs w:val="24"/>
        </w:rPr>
        <w:t xml:space="preserve"> </w:t>
      </w:r>
      <w:r>
        <w:rPr>
          <w:rFonts w:ascii="Arial" w:hAnsi="Arial" w:cs="Arial"/>
          <w:sz w:val="24"/>
          <w:szCs w:val="24"/>
        </w:rPr>
        <w:t xml:space="preserve">PTRO y a la conexión de la acometida a la </w:t>
      </w:r>
      <w:r>
        <w:rPr>
          <w:rFonts w:ascii="Arial" w:hAnsi="Arial" w:cs="Arial"/>
          <w:i/>
          <w:iCs/>
          <w:sz w:val="24"/>
          <w:szCs w:val="24"/>
        </w:rPr>
        <w:t>Caja Terminal Óptica</w:t>
      </w:r>
      <w:r>
        <w:rPr>
          <w:rFonts w:ascii="Arial" w:hAnsi="Arial" w:cs="Arial"/>
          <w:sz w:val="24"/>
          <w:szCs w:val="24"/>
        </w:rPr>
        <w:t>, en adelante CTO</w:t>
      </w:r>
      <w:r w:rsidR="00366749">
        <w:rPr>
          <w:rFonts w:ascii="Arial" w:hAnsi="Arial" w:cs="Arial"/>
          <w:sz w:val="24"/>
          <w:szCs w:val="24"/>
        </w:rPr>
        <w:t>.</w:t>
      </w:r>
    </w:p>
    <w:p w:rsidR="00E02C27" w:rsidRDefault="00E5554F">
      <w:pPr>
        <w:spacing w:before="120" w:after="120"/>
        <w:ind w:left="1418" w:hanging="545"/>
        <w:jc w:val="center"/>
        <w:rPr>
          <w:rFonts w:ascii="Arial" w:hAnsi="Arial" w:cs="Arial"/>
          <w:sz w:val="24"/>
          <w:szCs w:val="24"/>
        </w:rPr>
      </w:pPr>
      <w:r>
        <w:rPr>
          <w:rFonts w:ascii="Arial" w:hAnsi="Arial" w:cs="Arial"/>
          <w:noProof/>
          <w:sz w:val="24"/>
          <w:szCs w:val="24"/>
        </w:rPr>
        <w:drawing>
          <wp:inline distT="0" distB="0" distL="0" distR="0" wp14:anchorId="45DCCC23" wp14:editId="42903587">
            <wp:extent cx="3446145" cy="2503805"/>
            <wp:effectExtent l="0" t="0" r="190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145" cy="2503805"/>
                    </a:xfrm>
                    <a:prstGeom prst="rect">
                      <a:avLst/>
                    </a:prstGeom>
                    <a:noFill/>
                    <a:ln>
                      <a:noFill/>
                    </a:ln>
                    <a:effectLst/>
                  </pic:spPr>
                </pic:pic>
              </a:graphicData>
            </a:graphic>
          </wp:inline>
        </w:drawing>
      </w:r>
    </w:p>
    <w:p w:rsidR="00E02C27" w:rsidRDefault="00E02C27">
      <w:pPr>
        <w:spacing w:before="120" w:after="120"/>
        <w:ind w:left="0"/>
        <w:rPr>
          <w:rFonts w:ascii="Arial" w:hAnsi="Arial" w:cs="Arial"/>
          <w:sz w:val="24"/>
          <w:szCs w:val="24"/>
        </w:rPr>
      </w:pPr>
      <w:r>
        <w:rPr>
          <w:rFonts w:ascii="Arial" w:hAnsi="Arial" w:cs="Arial"/>
          <w:sz w:val="24"/>
          <w:szCs w:val="24"/>
        </w:rPr>
        <w:t>En un domicilio podrán existir varios IUA, no existiendo por tanto una correspondencia biunívoca entre domicilio e IUA.</w:t>
      </w:r>
    </w:p>
    <w:p w:rsidR="00E02C27" w:rsidRDefault="00E02C27">
      <w:pPr>
        <w:spacing w:before="120" w:after="120"/>
        <w:ind w:left="0"/>
        <w:rPr>
          <w:rFonts w:ascii="Arial" w:hAnsi="Arial" w:cs="Arial"/>
          <w:sz w:val="24"/>
          <w:szCs w:val="24"/>
        </w:rPr>
      </w:pPr>
      <w:r>
        <w:rPr>
          <w:rFonts w:ascii="Arial" w:hAnsi="Arial" w:cs="Arial"/>
          <w:sz w:val="24"/>
          <w:szCs w:val="24"/>
        </w:rPr>
        <w:t>Aunque en el mercado Residencial no es frecuente que exista más de una acometida y por lo tanto un IUA por domicilio, ese no es el caso en el mercado de Negocios y Empresas, en el que sí es habitual la existencia de más de un acceso por domicilio. En ese caso, existirían otros tantos IUA en dicho domicilio.</w:t>
      </w:r>
    </w:p>
    <w:p w:rsidR="00E02C27" w:rsidRDefault="00E02C27">
      <w:pPr>
        <w:spacing w:before="120" w:after="120"/>
        <w:ind w:left="0"/>
        <w:rPr>
          <w:rFonts w:ascii="Arial" w:hAnsi="Arial" w:cs="Arial"/>
          <w:sz w:val="24"/>
          <w:szCs w:val="24"/>
        </w:rPr>
      </w:pPr>
      <w:r>
        <w:rPr>
          <w:rFonts w:ascii="Arial" w:hAnsi="Arial" w:cs="Arial"/>
          <w:bCs/>
          <w:iCs/>
          <w:sz w:val="24"/>
          <w:szCs w:val="24"/>
        </w:rPr>
        <w:t xml:space="preserve">El IUA será proporcionado por </w:t>
      </w:r>
      <w:r w:rsidR="009D686F">
        <w:rPr>
          <w:rFonts w:ascii="Arial" w:hAnsi="Arial" w:cs="Arial"/>
          <w:bCs/>
          <w:iCs/>
          <w:sz w:val="24"/>
          <w:szCs w:val="24"/>
        </w:rPr>
        <w:t>Telefónica</w:t>
      </w:r>
      <w:r>
        <w:rPr>
          <w:rFonts w:ascii="Arial" w:hAnsi="Arial" w:cs="Arial"/>
          <w:bCs/>
          <w:iCs/>
          <w:sz w:val="24"/>
          <w:szCs w:val="24"/>
        </w:rPr>
        <w:t xml:space="preserve"> al operador en el proceso de provisión del servicio mayorista. A diferencia de otros identificadores (número de teléfono, número administrativo), el IUA no es un identificador comercial ya que no está asociado a ningún servicio en concreto sino al acceso sobre el que se constituyen los servicios.</w:t>
      </w:r>
    </w:p>
    <w:p w:rsidR="00E02C27" w:rsidRDefault="00E02C27">
      <w:pPr>
        <w:spacing w:before="120" w:after="120"/>
        <w:ind w:left="0"/>
        <w:rPr>
          <w:rFonts w:ascii="Arial" w:hAnsi="Arial" w:cs="Arial"/>
          <w:b/>
          <w:i/>
          <w:sz w:val="24"/>
          <w:szCs w:val="24"/>
        </w:rPr>
      </w:pPr>
      <w:r>
        <w:rPr>
          <w:rFonts w:ascii="Arial" w:hAnsi="Arial" w:cs="Arial"/>
          <w:b/>
          <w:i/>
          <w:sz w:val="24"/>
          <w:szCs w:val="24"/>
        </w:rPr>
        <w:t>Formato</w:t>
      </w:r>
    </w:p>
    <w:p w:rsidR="00E02C27" w:rsidRPr="00B906ED" w:rsidRDefault="00E02C27" w:rsidP="00366749">
      <w:pPr>
        <w:spacing w:after="120"/>
        <w:ind w:left="0"/>
        <w:rPr>
          <w:rFonts w:ascii="Arial" w:hAnsi="Arial" w:cs="Arial"/>
          <w:bCs/>
          <w:iCs/>
          <w:sz w:val="24"/>
          <w:szCs w:val="24"/>
        </w:rPr>
      </w:pPr>
      <w:r w:rsidRPr="00B906ED">
        <w:rPr>
          <w:rFonts w:ascii="Arial" w:hAnsi="Arial" w:cs="Arial"/>
          <w:bCs/>
          <w:iCs/>
          <w:sz w:val="24"/>
          <w:szCs w:val="24"/>
        </w:rPr>
        <w:t>Telefónica propone un formato de IUA que siga la estructura siguiente:</w:t>
      </w:r>
    </w:p>
    <w:p w:rsidR="00E02C27" w:rsidRDefault="00E02C27" w:rsidP="00B906ED">
      <w:pPr>
        <w:numPr>
          <w:ilvl w:val="0"/>
          <w:numId w:val="20"/>
        </w:numPr>
        <w:spacing w:before="120"/>
        <w:ind w:left="1417" w:hanging="544"/>
        <w:rPr>
          <w:rFonts w:ascii="Arial" w:hAnsi="Arial" w:cs="Arial"/>
          <w:sz w:val="24"/>
          <w:szCs w:val="24"/>
        </w:rPr>
      </w:pPr>
      <w:r>
        <w:rPr>
          <w:rFonts w:ascii="Arial" w:hAnsi="Arial" w:cs="Arial"/>
          <w:sz w:val="24"/>
          <w:szCs w:val="24"/>
        </w:rPr>
        <w:t>Campo de 12 caracteres generados por el operador</w:t>
      </w:r>
    </w:p>
    <w:p w:rsidR="00E02C27" w:rsidRDefault="00E02C27">
      <w:pPr>
        <w:numPr>
          <w:ilvl w:val="0"/>
          <w:numId w:val="20"/>
        </w:numPr>
        <w:spacing w:before="120" w:after="120"/>
        <w:ind w:left="1418" w:hanging="545"/>
        <w:rPr>
          <w:rFonts w:ascii="Arial" w:hAnsi="Arial" w:cs="Arial"/>
          <w:sz w:val="24"/>
          <w:szCs w:val="24"/>
        </w:rPr>
      </w:pPr>
      <w:r>
        <w:rPr>
          <w:rFonts w:ascii="Arial" w:hAnsi="Arial" w:cs="Arial"/>
          <w:sz w:val="24"/>
          <w:szCs w:val="24"/>
        </w:rPr>
        <w:t>Campo de (n) caracteres (a acordar) que identifique al operador</w:t>
      </w:r>
    </w:p>
    <w:p w:rsidR="00E02C27" w:rsidRDefault="00E02C27">
      <w:pPr>
        <w:spacing w:before="120" w:after="120"/>
        <w:ind w:left="1418" w:hanging="545"/>
        <w:rPr>
          <w:rFonts w:ascii="Arial" w:hAnsi="Arial" w:cs="Arial"/>
          <w:sz w:val="24"/>
          <w:szCs w:val="24"/>
        </w:rPr>
      </w:pPr>
      <w:r>
        <w:rPr>
          <w:rFonts w:ascii="Arial" w:hAnsi="Arial" w:cs="Arial"/>
          <w:sz w:val="24"/>
          <w:szCs w:val="24"/>
        </w:rPr>
        <w:t xml:space="preserve">Es decir, </w:t>
      </w:r>
    </w:p>
    <w:p w:rsidR="00E02C27" w:rsidRDefault="00E02C27">
      <w:pPr>
        <w:spacing w:before="120" w:after="120"/>
        <w:ind w:left="1418" w:hanging="545"/>
        <w:jc w:val="center"/>
        <w:rPr>
          <w:rFonts w:ascii="Arial" w:hAnsi="Arial" w:cs="Arial"/>
          <w:b/>
          <w:sz w:val="24"/>
          <w:szCs w:val="24"/>
        </w:rPr>
      </w:pPr>
      <w:r>
        <w:rPr>
          <w:rFonts w:ascii="Arial" w:hAnsi="Arial" w:cs="Arial"/>
          <w:b/>
          <w:sz w:val="24"/>
          <w:szCs w:val="24"/>
        </w:rPr>
        <w:t>CAMPO1 (12 caracteres) + CAMPO 2 (Id de OPERADOR)</w:t>
      </w:r>
    </w:p>
    <w:p w:rsidR="00E02C27" w:rsidRPr="00B906ED" w:rsidRDefault="00E02C27" w:rsidP="00B906ED">
      <w:pPr>
        <w:spacing w:before="120" w:after="120"/>
        <w:ind w:left="0"/>
        <w:rPr>
          <w:rFonts w:ascii="Arial" w:hAnsi="Arial" w:cs="Arial"/>
          <w:bCs/>
          <w:iCs/>
          <w:sz w:val="24"/>
          <w:szCs w:val="24"/>
        </w:rPr>
      </w:pPr>
      <w:r w:rsidRPr="00B906ED">
        <w:rPr>
          <w:rFonts w:ascii="Arial" w:hAnsi="Arial" w:cs="Arial"/>
          <w:bCs/>
          <w:iCs/>
          <w:sz w:val="24"/>
          <w:szCs w:val="24"/>
        </w:rPr>
        <w:t>En relación con los 12 caracteres la composición empleada por Telefónica será la siguiente:</w:t>
      </w:r>
    </w:p>
    <w:p w:rsidR="00E02C27" w:rsidRDefault="00E02C27">
      <w:pPr>
        <w:spacing w:before="120" w:after="120"/>
        <w:ind w:left="1418" w:hanging="545"/>
        <w:jc w:val="center"/>
        <w:rPr>
          <w:rFonts w:ascii="Arial" w:hAnsi="Arial" w:cs="Arial"/>
          <w:b/>
          <w:sz w:val="24"/>
          <w:szCs w:val="24"/>
        </w:rPr>
      </w:pPr>
      <w:r>
        <w:rPr>
          <w:rFonts w:ascii="Arial" w:hAnsi="Arial" w:cs="Arial"/>
          <w:b/>
          <w:sz w:val="24"/>
          <w:szCs w:val="24"/>
        </w:rPr>
        <w:t>122333333333</w:t>
      </w:r>
    </w:p>
    <w:p w:rsidR="00E02C27" w:rsidRDefault="00E02C27">
      <w:pPr>
        <w:spacing w:before="120" w:after="120"/>
        <w:ind w:left="1418" w:hanging="545"/>
        <w:rPr>
          <w:rFonts w:ascii="Arial" w:hAnsi="Arial" w:cs="Arial"/>
          <w:sz w:val="24"/>
          <w:szCs w:val="24"/>
        </w:rPr>
      </w:pPr>
      <w:r>
        <w:rPr>
          <w:rFonts w:ascii="Arial" w:hAnsi="Arial" w:cs="Arial"/>
          <w:sz w:val="24"/>
          <w:szCs w:val="24"/>
        </w:rPr>
        <w:t>333333333: número de 9 cifras de un algoritmo de generación aleatoria, sería el núcleo del IUA.</w:t>
      </w:r>
    </w:p>
    <w:p w:rsidR="00E02C27" w:rsidRDefault="00E02C27">
      <w:pPr>
        <w:spacing w:before="120" w:after="120"/>
        <w:ind w:left="1418" w:hanging="545"/>
        <w:rPr>
          <w:rFonts w:ascii="Arial" w:hAnsi="Arial" w:cs="Arial"/>
          <w:sz w:val="24"/>
          <w:szCs w:val="24"/>
        </w:rPr>
      </w:pPr>
      <w:r>
        <w:rPr>
          <w:rFonts w:ascii="Arial" w:hAnsi="Arial" w:cs="Arial"/>
          <w:sz w:val="24"/>
          <w:szCs w:val="24"/>
        </w:rPr>
        <w:t xml:space="preserve">22: Código de la provincia </w:t>
      </w:r>
    </w:p>
    <w:p w:rsidR="00E02C27" w:rsidRDefault="00E02C27">
      <w:pPr>
        <w:spacing w:before="120" w:after="120"/>
        <w:ind w:left="1418" w:hanging="545"/>
        <w:rPr>
          <w:rFonts w:ascii="Arial" w:hAnsi="Arial" w:cs="Arial"/>
          <w:sz w:val="24"/>
          <w:szCs w:val="24"/>
        </w:rPr>
      </w:pPr>
      <w:r>
        <w:rPr>
          <w:rFonts w:ascii="Arial" w:hAnsi="Arial" w:cs="Arial"/>
          <w:sz w:val="24"/>
          <w:szCs w:val="24"/>
        </w:rPr>
        <w:t>1: dígito de control generado a partir de los nueve dígitos 333333333</w:t>
      </w:r>
      <w:r w:rsidR="00C31B0C">
        <w:rPr>
          <w:rStyle w:val="Refdenotaalpie"/>
          <w:rFonts w:ascii="Arial" w:hAnsi="Arial" w:cs="Arial"/>
          <w:sz w:val="24"/>
          <w:szCs w:val="24"/>
        </w:rPr>
        <w:footnoteReference w:id="7"/>
      </w:r>
    </w:p>
    <w:p w:rsidR="00E02C27" w:rsidRDefault="00B906ED">
      <w:pPr>
        <w:spacing w:before="120" w:after="120"/>
        <w:ind w:left="1418" w:hanging="545"/>
        <w:rPr>
          <w:rFonts w:ascii="Arial" w:hAnsi="Arial" w:cs="Arial"/>
          <w:sz w:val="24"/>
          <w:szCs w:val="24"/>
        </w:rPr>
      </w:pPr>
      <w:r w:rsidRPr="00B906ED">
        <w:rPr>
          <w:rFonts w:ascii="Arial" w:hAnsi="Arial" w:cs="Arial"/>
          <w:sz w:val="24"/>
          <w:szCs w:val="24"/>
        </w:rPr>
        <w:t>Id de OPERADOR</w:t>
      </w:r>
      <w:r w:rsidR="00E02C27">
        <w:rPr>
          <w:rFonts w:ascii="Arial" w:hAnsi="Arial" w:cs="Arial"/>
          <w:sz w:val="24"/>
          <w:szCs w:val="24"/>
        </w:rPr>
        <w:t>: 2, 3 ó 4 caracteres que identifican el operador titular de la red de acceso. Se podría utilizar el mismo código que actualmente se emplea para servicios regulados</w:t>
      </w:r>
    </w:p>
    <w:p w:rsidR="00E02C27" w:rsidRDefault="00E02C27">
      <w:pPr>
        <w:tabs>
          <w:tab w:val="left" w:pos="4476"/>
        </w:tabs>
        <w:spacing w:before="60" w:after="60"/>
        <w:ind w:left="851"/>
        <w:rPr>
          <w:rFonts w:ascii="Arial" w:hAnsi="Arial" w:cs="Arial"/>
          <w:lang w:val="es-ES_tradnl"/>
        </w:rPr>
      </w:pPr>
      <w:r>
        <w:rPr>
          <w:rFonts w:ascii="Arial" w:hAnsi="Arial" w:cs="Arial"/>
          <w:lang w:val="es-ES_tradnl"/>
        </w:rPr>
        <w:tab/>
      </w:r>
    </w:p>
    <w:p w:rsidR="00E02C27" w:rsidRDefault="00E02C27" w:rsidP="006B5381">
      <w:pPr>
        <w:pStyle w:val="EstiloTitulo2"/>
      </w:pPr>
      <w:bookmarkStart w:id="51" w:name="_Toc256064555"/>
      <w:bookmarkStart w:id="52" w:name="_Toc256071915"/>
      <w:bookmarkStart w:id="53" w:name="_Toc256073074"/>
      <w:bookmarkStart w:id="54" w:name="_Toc256164891"/>
      <w:bookmarkStart w:id="55" w:name="_Toc444784459"/>
      <w:bookmarkEnd w:id="51"/>
      <w:bookmarkEnd w:id="52"/>
      <w:bookmarkEnd w:id="53"/>
      <w:bookmarkEnd w:id="54"/>
      <w:r>
        <w:t>Movimientos NEBA (altas, bajas, postventas)</w:t>
      </w:r>
      <w:bookmarkEnd w:id="55"/>
    </w:p>
    <w:p w:rsidR="00E02C27" w:rsidRDefault="00E02C27" w:rsidP="00AF32C8">
      <w:pPr>
        <w:pStyle w:val="EstiloTtulo3"/>
      </w:pPr>
      <w:bookmarkStart w:id="56" w:name="_Toc444784460"/>
      <w:r>
        <w:t>Movimientos sobre accesos de cobre (tecnologías xDSL)</w:t>
      </w:r>
      <w:bookmarkEnd w:id="56"/>
    </w:p>
    <w:p w:rsidR="00E02C27" w:rsidRDefault="00E02C27">
      <w:pPr>
        <w:pStyle w:val="TEXTOTA"/>
        <w:keepLines w:val="0"/>
        <w:spacing w:after="60"/>
        <w:ind w:left="709"/>
        <w:rPr>
          <w:rFonts w:cs="Arial"/>
          <w:sz w:val="24"/>
          <w:szCs w:val="24"/>
          <w:lang w:val="es-ES"/>
        </w:rPr>
      </w:pPr>
      <w:r>
        <w:rPr>
          <w:rFonts w:cs="Arial"/>
          <w:sz w:val="24"/>
          <w:szCs w:val="24"/>
          <w:lang w:val="es-ES"/>
        </w:rPr>
        <w:t>A continuación se describen los movimientos sobre accesos de cobre. Debe tenerse en cuenta que, cuando se produzca un alta sobre ocupado sobre un acceso con servicio de acceso indirecto y éste se estuviera prestando sobre un DSLAM no compatible con NEBA, se deberá realizar la desconexión y conexión del par a un DSLAM compatible con NEBA.</w:t>
      </w:r>
      <w:r w:rsidR="00706891">
        <w:rPr>
          <w:rFonts w:cs="Arial"/>
          <w:sz w:val="24"/>
          <w:szCs w:val="24"/>
          <w:lang w:val="es-ES"/>
        </w:rPr>
        <w:t xml:space="preserve"> Se contemplará la sincronización con portabilidad en todos los </w:t>
      </w:r>
      <w:r w:rsidR="00CE709B">
        <w:rPr>
          <w:rFonts w:cs="Arial"/>
          <w:sz w:val="24"/>
          <w:szCs w:val="24"/>
          <w:lang w:val="es-ES"/>
        </w:rPr>
        <w:t>supuestos</w:t>
      </w:r>
      <w:r w:rsidR="00706891">
        <w:rPr>
          <w:rFonts w:cs="Arial"/>
          <w:sz w:val="24"/>
          <w:szCs w:val="24"/>
          <w:lang w:val="es-ES"/>
        </w:rPr>
        <w:t xml:space="preserve"> aplicables, incluidos los casos </w:t>
      </w:r>
      <w:r w:rsidR="00CE709B">
        <w:rPr>
          <w:rFonts w:cs="Arial"/>
          <w:sz w:val="24"/>
          <w:szCs w:val="24"/>
          <w:lang w:val="es-ES"/>
        </w:rPr>
        <w:t xml:space="preserve">de portabilidad </w:t>
      </w:r>
      <w:r w:rsidR="00706891">
        <w:rPr>
          <w:rFonts w:cs="Arial"/>
          <w:sz w:val="24"/>
          <w:szCs w:val="24"/>
          <w:lang w:val="es-ES"/>
        </w:rPr>
        <w:t>entre terceros.</w:t>
      </w:r>
    </w:p>
    <w:p w:rsidR="00E02C27" w:rsidRDefault="00E02C27">
      <w:pPr>
        <w:pStyle w:val="TEXTOTA"/>
        <w:keepLines w:val="0"/>
        <w:spacing w:after="60"/>
        <w:ind w:left="709"/>
        <w:rPr>
          <w:rFonts w:cs="Arial"/>
          <w:b/>
          <w:sz w:val="24"/>
          <w:szCs w:val="24"/>
          <w:lang w:val="es-ES"/>
        </w:rPr>
      </w:pPr>
      <w:r>
        <w:rPr>
          <w:rFonts w:cs="Arial"/>
          <w:b/>
          <w:sz w:val="24"/>
          <w:szCs w:val="24"/>
          <w:lang w:val="es-ES"/>
        </w:rPr>
        <w:t>1) Altas de NEBA sin STB sobre cobre</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u w:val="single"/>
          <w:lang w:val="es-ES"/>
        </w:rPr>
        <w:t>Alta sobre vacante</w:t>
      </w:r>
      <w:r>
        <w:rPr>
          <w:rFonts w:cs="Arial"/>
          <w:sz w:val="24"/>
          <w:szCs w:val="24"/>
          <w:lang w:val="es-ES"/>
        </w:rPr>
        <w:t>: se produce en el caso de solicitudes en un domicilio sin acceso en servicio (y que no se desea compartir con otro servicio). Lógicamente no afecta a ningún servicio. La solicitud debe realizarse utilizando el código GESCAL del domicilio.</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u w:val="single"/>
          <w:lang w:val="es-ES"/>
        </w:rPr>
        <w:t>Alta sobre ocupado</w:t>
      </w:r>
      <w:r>
        <w:rPr>
          <w:rFonts w:cs="Arial"/>
          <w:sz w:val="24"/>
          <w:szCs w:val="24"/>
          <w:lang w:val="es-ES"/>
        </w:rPr>
        <w:t>: se dan dos casos:</w:t>
      </w:r>
    </w:p>
    <w:p w:rsidR="00E02C27" w:rsidRDefault="00E02C27">
      <w:pPr>
        <w:pStyle w:val="TEXTOTA"/>
        <w:keepLines w:val="0"/>
        <w:numPr>
          <w:ilvl w:val="1"/>
          <w:numId w:val="31"/>
        </w:numPr>
        <w:tabs>
          <w:tab w:val="clear" w:pos="2291"/>
          <w:tab w:val="num" w:pos="2149"/>
        </w:tabs>
        <w:spacing w:before="60" w:after="60"/>
        <w:ind w:left="2149"/>
        <w:rPr>
          <w:rFonts w:cs="Arial"/>
          <w:sz w:val="24"/>
          <w:szCs w:val="24"/>
          <w:lang w:val="es-ES"/>
        </w:rPr>
      </w:pPr>
      <w:r>
        <w:rPr>
          <w:rFonts w:cs="Arial"/>
          <w:sz w:val="24"/>
          <w:szCs w:val="24"/>
          <w:lang w:val="es-ES"/>
        </w:rPr>
        <w:t xml:space="preserve">solicitudes sobre un acceso en el que existe un servicio de voz analógica  (STB) minorista o mayorista (AMLT), sobre el que puede existir o no un servicio de BA; el servicio STB se daría de baja. La solicitud debe realizarse utilizando el número telefónico de </w:t>
      </w:r>
      <w:r w:rsidR="009D686F">
        <w:rPr>
          <w:rFonts w:cs="Arial"/>
          <w:sz w:val="24"/>
          <w:szCs w:val="24"/>
          <w:lang w:val="es-ES"/>
        </w:rPr>
        <w:t>Telefónica</w:t>
      </w:r>
      <w:r>
        <w:rPr>
          <w:rFonts w:cs="Arial"/>
          <w:sz w:val="24"/>
          <w:szCs w:val="24"/>
          <w:lang w:val="es-ES"/>
        </w:rPr>
        <w:t>.</w:t>
      </w:r>
    </w:p>
    <w:p w:rsidR="00E02C27" w:rsidRDefault="00E02C27">
      <w:pPr>
        <w:pStyle w:val="TEXTOTA"/>
        <w:keepLines w:val="0"/>
        <w:numPr>
          <w:ilvl w:val="1"/>
          <w:numId w:val="31"/>
        </w:numPr>
        <w:tabs>
          <w:tab w:val="clear" w:pos="2291"/>
          <w:tab w:val="num" w:pos="2149"/>
        </w:tabs>
        <w:spacing w:before="60" w:after="60"/>
        <w:ind w:left="2149"/>
        <w:rPr>
          <w:rFonts w:cs="Arial"/>
          <w:sz w:val="24"/>
          <w:szCs w:val="24"/>
          <w:lang w:val="es-ES"/>
        </w:rPr>
      </w:pPr>
      <w:r>
        <w:rPr>
          <w:rFonts w:cs="Arial"/>
          <w:sz w:val="24"/>
          <w:szCs w:val="24"/>
          <w:lang w:val="es-ES"/>
        </w:rPr>
        <w:t>solicitudes sobre un acceso en el que sólo existe un servicio de BA sin STB. La solicitud debe realizarse utilizando el número administrativo, aplicando los procedimientos descritos en el apartado 3.4.</w:t>
      </w:r>
    </w:p>
    <w:p w:rsidR="00E02C27" w:rsidRDefault="00E02C27">
      <w:pPr>
        <w:pStyle w:val="TEXTOTA"/>
        <w:keepLines w:val="0"/>
        <w:spacing w:after="60"/>
        <w:ind w:left="709"/>
        <w:rPr>
          <w:rFonts w:cs="Arial"/>
          <w:b/>
          <w:sz w:val="24"/>
          <w:szCs w:val="24"/>
          <w:lang w:val="es-ES"/>
        </w:rPr>
      </w:pPr>
      <w:r>
        <w:rPr>
          <w:rFonts w:cs="Arial"/>
          <w:b/>
          <w:sz w:val="24"/>
          <w:szCs w:val="24"/>
          <w:lang w:val="es-ES"/>
        </w:rPr>
        <w:t>2) Altas de NEBA con STB sobre cobre</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u w:val="single"/>
          <w:lang w:val="es-ES"/>
        </w:rPr>
        <w:t>Alta sobre ocupado</w:t>
      </w:r>
      <w:r>
        <w:rPr>
          <w:rFonts w:cs="Arial"/>
          <w:sz w:val="24"/>
          <w:szCs w:val="24"/>
          <w:lang w:val="es-ES"/>
        </w:rPr>
        <w:t xml:space="preserve">: se produce en el caso de solicitudes sobre un acceso en el que previamente existe servicio de voz analógica (STB), minorista o mayorista (AMLT), pudiendo haber al mismo tiempo, un servicio de BA. </w:t>
      </w:r>
    </w:p>
    <w:p w:rsidR="00E02C27" w:rsidRDefault="00E02C27">
      <w:pPr>
        <w:pStyle w:val="TEXTOTA"/>
        <w:keepLines w:val="0"/>
        <w:spacing w:after="60"/>
        <w:ind w:left="709"/>
        <w:rPr>
          <w:rFonts w:cs="Arial"/>
          <w:b/>
          <w:sz w:val="24"/>
          <w:szCs w:val="24"/>
          <w:lang w:val="es-ES"/>
        </w:rPr>
      </w:pPr>
      <w:r>
        <w:rPr>
          <w:rFonts w:cs="Arial"/>
          <w:b/>
          <w:sz w:val="24"/>
          <w:szCs w:val="24"/>
          <w:lang w:val="es-ES"/>
        </w:rPr>
        <w:t>3) Modificaciones posventa sobre cobre</w:t>
      </w:r>
    </w:p>
    <w:p w:rsidR="00E02C27" w:rsidRDefault="00E02C27">
      <w:pPr>
        <w:pStyle w:val="TEXTOTA"/>
        <w:keepLines w:val="0"/>
        <w:numPr>
          <w:ilvl w:val="0"/>
          <w:numId w:val="31"/>
        </w:numPr>
        <w:tabs>
          <w:tab w:val="clear" w:pos="1571"/>
          <w:tab w:val="num" w:pos="1429"/>
        </w:tabs>
        <w:spacing w:before="60" w:after="60"/>
        <w:ind w:left="1429"/>
        <w:rPr>
          <w:rFonts w:cs="Arial"/>
          <w:sz w:val="24"/>
          <w:szCs w:val="24"/>
          <w:u w:val="single"/>
          <w:lang w:val="es-ES"/>
        </w:rPr>
      </w:pPr>
      <w:r>
        <w:rPr>
          <w:rFonts w:cs="Arial"/>
          <w:sz w:val="24"/>
          <w:szCs w:val="24"/>
          <w:u w:val="single"/>
          <w:lang w:val="es-ES"/>
        </w:rPr>
        <w:t>Cambio en los parámetros del servicio (p.e.  QoS, velocidad, etc),</w:t>
      </w:r>
    </w:p>
    <w:p w:rsidR="00E02C27" w:rsidRDefault="00E02C27">
      <w:pPr>
        <w:pStyle w:val="TEXTOTA"/>
        <w:keepLines w:val="0"/>
        <w:spacing w:after="60"/>
        <w:ind w:left="709"/>
        <w:rPr>
          <w:rFonts w:cs="Arial"/>
          <w:b/>
          <w:sz w:val="24"/>
          <w:szCs w:val="24"/>
          <w:lang w:val="es-ES"/>
        </w:rPr>
      </w:pPr>
      <w:r>
        <w:rPr>
          <w:rFonts w:cs="Arial"/>
          <w:b/>
          <w:sz w:val="24"/>
          <w:szCs w:val="24"/>
          <w:lang w:val="es-ES"/>
        </w:rPr>
        <w:t>4) Baja del servicio NEBA sobre cobre</w:t>
      </w:r>
    </w:p>
    <w:p w:rsidR="00E02C27" w:rsidRDefault="00E02C27" w:rsidP="00B906ED">
      <w:pPr>
        <w:pStyle w:val="TEXTOTA"/>
        <w:keepNext/>
        <w:keepLines w:val="0"/>
        <w:spacing w:after="60"/>
        <w:ind w:left="709"/>
        <w:rPr>
          <w:rFonts w:cs="Arial"/>
          <w:b/>
          <w:sz w:val="24"/>
          <w:szCs w:val="24"/>
          <w:lang w:val="es-ES"/>
        </w:rPr>
      </w:pPr>
      <w:r>
        <w:rPr>
          <w:rFonts w:cs="Arial"/>
          <w:b/>
          <w:sz w:val="24"/>
          <w:szCs w:val="24"/>
          <w:lang w:val="es-ES"/>
        </w:rPr>
        <w:t>5) Movimientos de migración con otros servicios sobre cobre</w:t>
      </w:r>
    </w:p>
    <w:p w:rsidR="00E02C27" w:rsidRDefault="00E02C27">
      <w:pPr>
        <w:pStyle w:val="TEXTOTA"/>
        <w:keepLines w:val="0"/>
        <w:numPr>
          <w:ilvl w:val="0"/>
          <w:numId w:val="31"/>
        </w:numPr>
        <w:tabs>
          <w:tab w:val="clear" w:pos="1571"/>
          <w:tab w:val="num" w:pos="1429"/>
        </w:tabs>
        <w:spacing w:before="60" w:after="60"/>
        <w:ind w:left="1429"/>
        <w:rPr>
          <w:rFonts w:cs="Arial"/>
          <w:b/>
          <w:sz w:val="24"/>
          <w:szCs w:val="24"/>
          <w:lang w:val="es-ES"/>
        </w:rPr>
      </w:pPr>
      <w:r>
        <w:rPr>
          <w:rFonts w:cs="Arial"/>
          <w:sz w:val="24"/>
          <w:szCs w:val="24"/>
          <w:u w:val="single"/>
          <w:lang w:val="es-ES"/>
        </w:rPr>
        <w:t>servicios indirectos y servicio de prolongación de par:</w:t>
      </w:r>
      <w:r>
        <w:rPr>
          <w:rFonts w:cs="Arial"/>
          <w:sz w:val="24"/>
          <w:szCs w:val="24"/>
          <w:lang w:val="es-ES"/>
        </w:rPr>
        <w:t xml:space="preserve"> véase apartado 3.6.3.</w:t>
      </w:r>
    </w:p>
    <w:p w:rsidR="00CE709B" w:rsidRDefault="00CE709B" w:rsidP="00CE709B">
      <w:pPr>
        <w:pStyle w:val="TEXTOTA"/>
        <w:keepLines w:val="0"/>
        <w:spacing w:after="60"/>
        <w:ind w:left="709"/>
        <w:rPr>
          <w:rFonts w:cs="Arial"/>
          <w:b/>
          <w:sz w:val="24"/>
          <w:szCs w:val="24"/>
          <w:lang w:val="es-ES"/>
        </w:rPr>
      </w:pPr>
      <w:r>
        <w:rPr>
          <w:rFonts w:cs="Arial"/>
          <w:b/>
          <w:sz w:val="24"/>
          <w:szCs w:val="24"/>
          <w:lang w:val="es-ES"/>
        </w:rPr>
        <w:t>6) Alta conjunta AMLT y NEBA sobre cobre</w:t>
      </w:r>
    </w:p>
    <w:p w:rsidR="00E02C27" w:rsidRDefault="00E02C27">
      <w:pPr>
        <w:pStyle w:val="TEXTOTA"/>
        <w:keepLines w:val="0"/>
        <w:spacing w:before="60" w:after="60"/>
        <w:ind w:left="709"/>
        <w:rPr>
          <w:rFonts w:cs="Arial"/>
          <w:b/>
          <w:sz w:val="24"/>
          <w:szCs w:val="24"/>
          <w:lang w:val="es-ES"/>
        </w:rPr>
      </w:pPr>
    </w:p>
    <w:p w:rsidR="00E02C27" w:rsidRDefault="00E02C27" w:rsidP="00AF32C8">
      <w:pPr>
        <w:pStyle w:val="EstiloTtulo3"/>
      </w:pPr>
      <w:bookmarkStart w:id="57" w:name="_Toc444784461"/>
      <w:r>
        <w:t>Movimientos sobre tecnología FTTH/GPON</w:t>
      </w:r>
      <w:bookmarkEnd w:id="57"/>
    </w:p>
    <w:p w:rsidR="00E02C27" w:rsidRDefault="00E02C27">
      <w:pPr>
        <w:pStyle w:val="Textoindependiente"/>
        <w:spacing w:before="60" w:after="60"/>
        <w:ind w:left="709"/>
        <w:rPr>
          <w:rFonts w:ascii="Arial" w:hAnsi="Arial" w:cs="Arial"/>
          <w:lang w:val="es-ES"/>
        </w:rPr>
      </w:pPr>
      <w:r>
        <w:rPr>
          <w:rFonts w:ascii="Arial" w:hAnsi="Arial" w:cs="Arial"/>
          <w:lang w:val="es-ES"/>
        </w:rPr>
        <w:t xml:space="preserve">En caso de red de acceso de fibra (FTTH), la contratación podrá atender a algunas de las situaciones siguientes: </w:t>
      </w:r>
    </w:p>
    <w:p w:rsidR="00E02C27" w:rsidRDefault="00E02C27">
      <w:pPr>
        <w:ind w:left="0"/>
      </w:pPr>
    </w:p>
    <w:p w:rsidR="00E02C27" w:rsidRDefault="00E02C27">
      <w:pPr>
        <w:pStyle w:val="TEXTOTA"/>
        <w:keepLines w:val="0"/>
        <w:spacing w:before="60" w:after="60"/>
        <w:ind w:left="709"/>
        <w:rPr>
          <w:rFonts w:cs="Arial"/>
          <w:b/>
          <w:sz w:val="24"/>
          <w:szCs w:val="24"/>
          <w:lang w:val="es-ES"/>
        </w:rPr>
      </w:pPr>
      <w:r>
        <w:rPr>
          <w:rFonts w:cs="Arial"/>
          <w:b/>
          <w:sz w:val="24"/>
          <w:szCs w:val="24"/>
          <w:lang w:val="es-ES"/>
        </w:rPr>
        <w:t>1) Altas de NEBA sobre FTTH</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u w:val="single"/>
          <w:lang w:val="es-ES"/>
        </w:rPr>
        <w:t>Alta sobre vacante</w:t>
      </w:r>
      <w:r>
        <w:rPr>
          <w:rFonts w:cs="Arial"/>
          <w:sz w:val="24"/>
          <w:szCs w:val="24"/>
          <w:lang w:val="es-ES"/>
        </w:rPr>
        <w:t>: se produce en el caso de solicitudes en un domicilio sin acceso en servicio previamente existente. La solicitud debe realizar</w:t>
      </w:r>
      <w:r w:rsidR="009F0A17">
        <w:rPr>
          <w:rFonts w:cs="Arial"/>
          <w:sz w:val="24"/>
          <w:szCs w:val="24"/>
          <w:lang w:val="es-ES"/>
        </w:rPr>
        <w:t>s</w:t>
      </w:r>
      <w:r>
        <w:rPr>
          <w:rFonts w:cs="Arial"/>
          <w:sz w:val="24"/>
          <w:szCs w:val="24"/>
          <w:lang w:val="es-ES"/>
        </w:rPr>
        <w:t>e utilizando el código GESCAL del domicilio.</w:t>
      </w:r>
    </w:p>
    <w:p w:rsidR="00E02C27" w:rsidRDefault="00E02C27">
      <w:pPr>
        <w:pStyle w:val="Textoindependiente"/>
        <w:spacing w:before="60" w:after="60"/>
        <w:ind w:left="1429"/>
        <w:rPr>
          <w:rFonts w:ascii="Arial" w:hAnsi="Arial" w:cs="Arial"/>
          <w:lang w:val="es-ES"/>
        </w:rPr>
      </w:pPr>
      <w:r>
        <w:rPr>
          <w:rFonts w:ascii="Arial" w:hAnsi="Arial" w:cs="Arial"/>
          <w:lang w:val="es-ES"/>
        </w:rPr>
        <w:t xml:space="preserve">Esta solicitud puede enfrentarse a varios escenarios: </w:t>
      </w:r>
    </w:p>
    <w:p w:rsidR="00E02C27" w:rsidRDefault="00E02C27">
      <w:pPr>
        <w:pStyle w:val="Textoindependiente"/>
        <w:numPr>
          <w:ilvl w:val="0"/>
          <w:numId w:val="56"/>
        </w:numPr>
        <w:tabs>
          <w:tab w:val="clear" w:pos="2291"/>
        </w:tabs>
        <w:spacing w:before="60" w:after="60"/>
        <w:ind w:left="1985"/>
        <w:rPr>
          <w:rFonts w:ascii="Arial" w:hAnsi="Arial" w:cs="Arial"/>
          <w:lang w:val="es-ES"/>
        </w:rPr>
      </w:pPr>
      <w:r>
        <w:rPr>
          <w:rFonts w:ascii="Arial" w:hAnsi="Arial" w:cs="Arial"/>
          <w:lang w:val="es-ES"/>
        </w:rPr>
        <w:t>Acceso inexistente, no está tendido (acometida no tendida)</w:t>
      </w:r>
    </w:p>
    <w:p w:rsidR="00E02C27" w:rsidRDefault="00E02C27">
      <w:pPr>
        <w:pStyle w:val="Textoindependiente"/>
        <w:numPr>
          <w:ilvl w:val="0"/>
          <w:numId w:val="56"/>
        </w:numPr>
        <w:tabs>
          <w:tab w:val="clear" w:pos="2291"/>
        </w:tabs>
        <w:spacing w:before="60" w:after="60"/>
        <w:ind w:left="1985"/>
        <w:rPr>
          <w:rFonts w:ascii="Arial" w:hAnsi="Arial" w:cs="Arial"/>
          <w:lang w:val="es-ES"/>
        </w:rPr>
      </w:pPr>
      <w:r>
        <w:rPr>
          <w:rFonts w:ascii="Arial" w:hAnsi="Arial" w:cs="Arial"/>
          <w:lang w:val="es-ES"/>
        </w:rPr>
        <w:t>Acceso existe en ese domicilio pero sin servicio: acometida tendida sin servicio</w:t>
      </w:r>
    </w:p>
    <w:p w:rsidR="00E02C27" w:rsidRDefault="00E02C27">
      <w:pPr>
        <w:pStyle w:val="Textoindependiente"/>
        <w:numPr>
          <w:ilvl w:val="0"/>
          <w:numId w:val="56"/>
        </w:numPr>
        <w:tabs>
          <w:tab w:val="clear" w:pos="2291"/>
        </w:tabs>
        <w:spacing w:before="60" w:after="60"/>
        <w:ind w:left="1985"/>
        <w:rPr>
          <w:rFonts w:ascii="Arial" w:hAnsi="Arial" w:cs="Arial"/>
          <w:lang w:val="es-ES"/>
        </w:rPr>
      </w:pPr>
      <w:r>
        <w:rPr>
          <w:rFonts w:ascii="Arial" w:hAnsi="Arial" w:cs="Arial"/>
          <w:lang w:val="es-ES"/>
        </w:rPr>
        <w:t>Acceso existe en ese domicilio pero sin servicio: acometida tendida sin servicio pero no conectada (por ejemplo, en algún elemento del vertical como la CTO)</w:t>
      </w:r>
    </w:p>
    <w:p w:rsidR="00E02C27" w:rsidRDefault="00E02C27">
      <w:pPr>
        <w:pStyle w:val="Textoindependiente"/>
        <w:numPr>
          <w:ilvl w:val="0"/>
          <w:numId w:val="56"/>
        </w:numPr>
        <w:tabs>
          <w:tab w:val="clear" w:pos="2291"/>
        </w:tabs>
        <w:spacing w:before="60" w:after="60"/>
        <w:ind w:left="1985"/>
        <w:rPr>
          <w:rFonts w:ascii="Arial" w:hAnsi="Arial" w:cs="Arial"/>
          <w:lang w:val="es-ES"/>
        </w:rPr>
      </w:pPr>
      <w:r>
        <w:rPr>
          <w:rFonts w:ascii="Arial" w:hAnsi="Arial" w:cs="Arial"/>
          <w:lang w:val="es-ES"/>
        </w:rPr>
        <w:t xml:space="preserve">Acceso en situación de uso compartido de verticales: cuando el cliente final en cobertura de fibra esté atendido por una acometida / vertical en ese momento operada por otro operador (con red de acceso de fibra propia). En este caso, la solicitud de servicio indirecto se debe ver precedida de una transferencia de la acometida de dicho operador a </w:t>
      </w:r>
      <w:r w:rsidR="009D686F">
        <w:rPr>
          <w:rFonts w:ascii="Arial" w:hAnsi="Arial" w:cs="Arial"/>
          <w:lang w:val="es-ES"/>
        </w:rPr>
        <w:t>Telefónica</w:t>
      </w:r>
      <w:r>
        <w:rPr>
          <w:rFonts w:ascii="Arial" w:hAnsi="Arial" w:cs="Arial"/>
          <w:lang w:val="es-ES"/>
        </w:rPr>
        <w:t xml:space="preserve"> para la oferta de indirecto al operador solicitante. En el contexto de la compartición de verticales se deberá establecer los procesos e información relevante para la transferencia de acometidas entre operadores. Ello es relevante a los efectos del servicio NEBA y deberá tenerse en cuenta en el establecimiento de acuerdos de nivel de servicio.</w:t>
      </w:r>
    </w:p>
    <w:p w:rsidR="00626E78" w:rsidRDefault="0050188E">
      <w:pPr>
        <w:spacing w:before="60" w:after="60"/>
        <w:ind w:left="1429"/>
        <w:rPr>
          <w:rFonts w:ascii="Arial" w:hAnsi="Arial" w:cs="Arial"/>
          <w:sz w:val="24"/>
          <w:szCs w:val="24"/>
        </w:rPr>
      </w:pPr>
      <w:r>
        <w:rPr>
          <w:rFonts w:ascii="Arial" w:hAnsi="Arial" w:cs="Arial"/>
          <w:sz w:val="24"/>
          <w:szCs w:val="24"/>
        </w:rPr>
        <w:t>L</w:t>
      </w:r>
      <w:r w:rsidR="00626E78">
        <w:rPr>
          <w:rFonts w:ascii="Arial" w:hAnsi="Arial" w:cs="Arial"/>
          <w:sz w:val="24"/>
          <w:szCs w:val="24"/>
        </w:rPr>
        <w:t xml:space="preserve">a instalación de la acometida y del PTRO </w:t>
      </w:r>
      <w:r w:rsidR="00112F51">
        <w:rPr>
          <w:rFonts w:ascii="Arial" w:hAnsi="Arial" w:cs="Arial"/>
          <w:sz w:val="24"/>
          <w:szCs w:val="24"/>
        </w:rPr>
        <w:t>son responsabilidad de</w:t>
      </w:r>
      <w:r w:rsidR="00626E78">
        <w:rPr>
          <w:rFonts w:ascii="Arial" w:hAnsi="Arial" w:cs="Arial"/>
          <w:sz w:val="24"/>
          <w:szCs w:val="24"/>
        </w:rPr>
        <w:t xml:space="preserve"> Telefónica. </w:t>
      </w:r>
      <w:r w:rsidR="006048E7" w:rsidRPr="006048E7">
        <w:rPr>
          <w:rFonts w:ascii="Arial" w:hAnsi="Arial" w:cs="Arial"/>
          <w:sz w:val="24"/>
          <w:szCs w:val="24"/>
        </w:rPr>
        <w:t xml:space="preserve">El PTRO se instalará de manera equivalente a como se haría en un alta minorista. </w:t>
      </w:r>
      <w:r w:rsidR="00FD1233" w:rsidRPr="00FD1233">
        <w:rPr>
          <w:rFonts w:ascii="Arial" w:hAnsi="Arial" w:cs="Arial"/>
          <w:sz w:val="24"/>
          <w:szCs w:val="24"/>
        </w:rPr>
        <w:t>Si un operador solicita a Telefónica poder desplegar sus propias acometidas FTTH en las altas sobre vacante, ésta deberá negociar un acuerdo en términos razonables</w:t>
      </w:r>
      <w:r w:rsidR="00FD1233">
        <w:rPr>
          <w:rFonts w:ascii="Arial" w:hAnsi="Arial" w:cs="Arial"/>
          <w:sz w:val="24"/>
          <w:szCs w:val="24"/>
        </w:rPr>
        <w:t>.</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u w:val="single"/>
          <w:lang w:val="es-ES"/>
        </w:rPr>
        <w:t>Alta sobre ocupado</w:t>
      </w:r>
      <w:r>
        <w:rPr>
          <w:rFonts w:cs="Arial"/>
          <w:sz w:val="24"/>
          <w:szCs w:val="24"/>
          <w:lang w:val="es-ES"/>
        </w:rPr>
        <w:t>:</w:t>
      </w:r>
    </w:p>
    <w:p w:rsidR="00E02C27" w:rsidRDefault="00E02C27">
      <w:pPr>
        <w:pStyle w:val="Textoindependiente"/>
        <w:numPr>
          <w:ilvl w:val="0"/>
          <w:numId w:val="56"/>
        </w:numPr>
        <w:tabs>
          <w:tab w:val="clear" w:pos="2291"/>
        </w:tabs>
        <w:spacing w:before="60" w:after="60"/>
        <w:ind w:left="1985"/>
        <w:rPr>
          <w:rFonts w:ascii="Arial" w:hAnsi="Arial" w:cs="Arial"/>
          <w:lang w:val="es-ES"/>
        </w:rPr>
      </w:pPr>
      <w:r>
        <w:rPr>
          <w:rFonts w:ascii="Arial" w:hAnsi="Arial" w:cs="Arial"/>
          <w:lang w:val="es-ES"/>
        </w:rPr>
        <w:t>solicitudes sobre un acceso en el que existe un servicio de BA sin STB,  suprime los servicios preexistentes sobre el acceso</w:t>
      </w:r>
    </w:p>
    <w:p w:rsidR="00E02C27" w:rsidRDefault="00E02C27">
      <w:pPr>
        <w:pStyle w:val="TEXTOTA"/>
        <w:keepLines w:val="0"/>
        <w:spacing w:before="60" w:after="60"/>
        <w:ind w:left="709"/>
        <w:rPr>
          <w:rFonts w:cs="Arial"/>
          <w:b/>
          <w:sz w:val="24"/>
          <w:szCs w:val="24"/>
          <w:lang w:val="es-ES"/>
        </w:rPr>
      </w:pPr>
      <w:r>
        <w:rPr>
          <w:rFonts w:cs="Arial"/>
          <w:b/>
          <w:sz w:val="24"/>
          <w:szCs w:val="24"/>
          <w:lang w:val="es-ES"/>
        </w:rPr>
        <w:t>2) Modificaciones postventa sobre FTTH</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u w:val="single"/>
          <w:lang w:val="es-ES"/>
        </w:rPr>
        <w:t>Cambio en los parámetros del servicio (p.e.  QoS, velocidad, etc),</w:t>
      </w:r>
    </w:p>
    <w:p w:rsidR="00E02C27" w:rsidRDefault="00E02C27">
      <w:pPr>
        <w:pStyle w:val="TEXTOTA"/>
        <w:keepLines w:val="0"/>
        <w:spacing w:before="60" w:after="60"/>
        <w:ind w:left="709"/>
        <w:rPr>
          <w:rFonts w:cs="Arial"/>
          <w:b/>
          <w:sz w:val="24"/>
          <w:szCs w:val="24"/>
          <w:lang w:val="es-ES"/>
        </w:rPr>
      </w:pPr>
      <w:r>
        <w:rPr>
          <w:rFonts w:cs="Arial"/>
          <w:b/>
          <w:sz w:val="24"/>
          <w:szCs w:val="24"/>
          <w:lang w:val="es-ES"/>
        </w:rPr>
        <w:t>3) Baja del servicio NEBA sobre FTTH</w:t>
      </w:r>
    </w:p>
    <w:p w:rsidR="00E02C27" w:rsidRDefault="00E02C27">
      <w:pPr>
        <w:pStyle w:val="TEXTOTA"/>
        <w:keepLines w:val="0"/>
        <w:spacing w:before="60" w:after="60"/>
        <w:ind w:left="709"/>
        <w:rPr>
          <w:rFonts w:cs="Arial"/>
          <w:b/>
          <w:sz w:val="24"/>
          <w:szCs w:val="24"/>
          <w:lang w:val="es-ES"/>
        </w:rPr>
      </w:pPr>
      <w:r>
        <w:rPr>
          <w:rFonts w:cs="Arial"/>
          <w:b/>
          <w:sz w:val="24"/>
          <w:szCs w:val="24"/>
          <w:lang w:val="es-ES"/>
        </w:rPr>
        <w:t>4) Movimientos de migración con otros servicios sobre FTTH</w:t>
      </w:r>
    </w:p>
    <w:p w:rsidR="00E02C27" w:rsidRDefault="00E02C27">
      <w:pPr>
        <w:pStyle w:val="TEXTOTA"/>
        <w:keepLines w:val="0"/>
        <w:numPr>
          <w:ilvl w:val="0"/>
          <w:numId w:val="31"/>
        </w:numPr>
        <w:tabs>
          <w:tab w:val="clear" w:pos="1571"/>
          <w:tab w:val="num" w:pos="1429"/>
        </w:tabs>
        <w:spacing w:before="60" w:after="60"/>
        <w:ind w:left="1429"/>
        <w:rPr>
          <w:rFonts w:cs="Arial"/>
          <w:b/>
          <w:sz w:val="24"/>
          <w:szCs w:val="24"/>
          <w:lang w:val="es-ES"/>
        </w:rPr>
      </w:pPr>
      <w:r>
        <w:rPr>
          <w:rFonts w:cs="Arial"/>
          <w:sz w:val="24"/>
          <w:szCs w:val="24"/>
          <w:u w:val="single"/>
          <w:lang w:val="es-ES"/>
        </w:rPr>
        <w:t xml:space="preserve">servicios indirectos existentes y servicio de prolongación de par: </w:t>
      </w:r>
      <w:r>
        <w:rPr>
          <w:rFonts w:cs="Arial"/>
          <w:sz w:val="24"/>
          <w:szCs w:val="24"/>
          <w:lang w:val="es-ES"/>
        </w:rPr>
        <w:t>véase apartado 3.6.3</w:t>
      </w:r>
    </w:p>
    <w:p w:rsidR="00E02C27" w:rsidRDefault="00E02C27" w:rsidP="00AF32C8">
      <w:pPr>
        <w:pStyle w:val="EstiloTtulo3"/>
      </w:pPr>
      <w:bookmarkStart w:id="58" w:name="_Toc444784462"/>
      <w:r>
        <w:t>Movimientos comerciales relativos a los Servicios Soporte de NEBA</w:t>
      </w:r>
      <w:bookmarkEnd w:id="58"/>
    </w:p>
    <w:p w:rsidR="00E02C27" w:rsidRDefault="00E02C27">
      <w:pPr>
        <w:pStyle w:val="TEXTOTA"/>
        <w:keepLines w:val="0"/>
        <w:spacing w:before="60" w:after="60"/>
        <w:ind w:left="709"/>
        <w:rPr>
          <w:rFonts w:cs="Arial"/>
          <w:sz w:val="24"/>
          <w:szCs w:val="24"/>
          <w:lang w:val="es-ES"/>
        </w:rPr>
      </w:pPr>
      <w:r>
        <w:rPr>
          <w:rFonts w:cs="Arial"/>
          <w:sz w:val="24"/>
          <w:szCs w:val="24"/>
          <w:lang w:val="es-ES"/>
        </w:rPr>
        <w:t>En relación a los Servicios Soporte del NEBA, podrán realizarse los siguientes movimientos en NEON:</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Modificación de</w:t>
      </w:r>
      <w:r w:rsidR="000274C6">
        <w:rPr>
          <w:rFonts w:cs="Arial"/>
          <w:sz w:val="24"/>
          <w:szCs w:val="24"/>
          <w:lang w:val="es-ES"/>
        </w:rPr>
        <w:t xml:space="preserve"> </w:t>
      </w:r>
      <w:r>
        <w:rPr>
          <w:rFonts w:cs="Arial"/>
          <w:sz w:val="24"/>
          <w:szCs w:val="24"/>
          <w:lang w:val="es-ES"/>
        </w:rPr>
        <w:t>l</w:t>
      </w:r>
      <w:r w:rsidR="000274C6">
        <w:rPr>
          <w:rFonts w:cs="Arial"/>
          <w:sz w:val="24"/>
          <w:szCs w:val="24"/>
          <w:lang w:val="es-ES"/>
        </w:rPr>
        <w:t>a</w:t>
      </w:r>
      <w:r>
        <w:rPr>
          <w:rFonts w:cs="Arial"/>
          <w:sz w:val="24"/>
          <w:szCs w:val="24"/>
          <w:lang w:val="es-ES"/>
        </w:rPr>
        <w:t xml:space="preserve"> </w:t>
      </w:r>
      <w:r w:rsidR="000274C6">
        <w:rPr>
          <w:rFonts w:cs="Arial"/>
          <w:sz w:val="24"/>
          <w:szCs w:val="24"/>
          <w:lang w:val="es-ES"/>
        </w:rPr>
        <w:t xml:space="preserve">capacidad contratada </w:t>
      </w:r>
      <w:r>
        <w:rPr>
          <w:rFonts w:cs="Arial"/>
          <w:sz w:val="24"/>
          <w:szCs w:val="24"/>
          <w:lang w:val="es-ES"/>
        </w:rPr>
        <w:t xml:space="preserve">en un pPAI </w:t>
      </w:r>
    </w:p>
    <w:p w:rsidR="00E02C27" w:rsidRPr="00D42971"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sz w:val="24"/>
          <w:szCs w:val="24"/>
        </w:rPr>
        <w:t>Alta o baja de un pPAI-E (puerto físico)</w:t>
      </w:r>
    </w:p>
    <w:p w:rsidR="00D42971" w:rsidRDefault="00D42971">
      <w:pPr>
        <w:pStyle w:val="TEXTOTA"/>
        <w:keepLines w:val="0"/>
        <w:numPr>
          <w:ilvl w:val="0"/>
          <w:numId w:val="31"/>
        </w:numPr>
        <w:tabs>
          <w:tab w:val="clear" w:pos="1571"/>
          <w:tab w:val="num" w:pos="1429"/>
        </w:tabs>
        <w:spacing w:before="60" w:after="60"/>
        <w:ind w:left="1429"/>
        <w:rPr>
          <w:rFonts w:cs="Arial"/>
          <w:sz w:val="24"/>
          <w:szCs w:val="24"/>
          <w:lang w:val="es-ES"/>
        </w:rPr>
      </w:pPr>
      <w:r>
        <w:rPr>
          <w:sz w:val="24"/>
          <w:szCs w:val="24"/>
        </w:rPr>
        <w:t>Migraciones masivas, incluida la migración de conexiones entre distintos pPAI</w:t>
      </w:r>
    </w:p>
    <w:p w:rsidR="00E02C27" w:rsidRDefault="00E02C27" w:rsidP="00AF32C8">
      <w:pPr>
        <w:pStyle w:val="EstiloTtulo3"/>
      </w:pPr>
      <w:bookmarkStart w:id="59" w:name="_Toc444784463"/>
      <w:r>
        <w:t>Movimientos de alta sobre ocupado</w:t>
      </w:r>
      <w:bookmarkEnd w:id="59"/>
      <w:r>
        <w:t xml:space="preserve"> </w:t>
      </w:r>
    </w:p>
    <w:p w:rsidR="00E02C27" w:rsidRDefault="00E02C27">
      <w:pPr>
        <w:pStyle w:val="TEXTOTA"/>
        <w:keepLines w:val="0"/>
        <w:spacing w:before="60" w:after="60"/>
        <w:ind w:left="720"/>
        <w:rPr>
          <w:rFonts w:cs="Arial"/>
          <w:sz w:val="24"/>
          <w:szCs w:val="24"/>
          <w:lang w:val="es-ES"/>
        </w:rPr>
      </w:pPr>
      <w:r>
        <w:rPr>
          <w:rFonts w:cs="Arial"/>
          <w:sz w:val="24"/>
          <w:szCs w:val="24"/>
          <w:lang w:val="es-ES"/>
        </w:rPr>
        <w:t>En este apartado se indican los posibles movimientos comerciales del NEBA con el resto de servicios, esto es:</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NEBA – GigADSL / ADSL IP (SGO)</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NEBA – OBA (NEON)</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NEBA - Minoristas</w:t>
      </w:r>
    </w:p>
    <w:p w:rsidR="00E02C27" w:rsidRDefault="00E02C27">
      <w:pPr>
        <w:pStyle w:val="TEXTOTA"/>
        <w:keepLines w:val="0"/>
        <w:spacing w:before="60" w:after="60"/>
        <w:ind w:left="709"/>
        <w:rPr>
          <w:rFonts w:cs="Arial"/>
          <w:sz w:val="24"/>
          <w:szCs w:val="24"/>
          <w:lang w:val="es-ES"/>
        </w:rPr>
      </w:pPr>
      <w:r>
        <w:rPr>
          <w:rFonts w:cs="Arial"/>
          <w:sz w:val="24"/>
          <w:szCs w:val="24"/>
          <w:lang w:val="es-ES"/>
        </w:rPr>
        <w:t>Para sistematizar la descripción y facilitar el entendimiento se han utilizado esquemas matriciales similares a los incluidos en el documento Planteamiento de Transformación de Sistemas OBA SGO NEON en su versión de fecha 2 de diciembre de 2009:</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 xml:space="preserve">En las filas de dichas matrices se indica la situación del par o servicio que demanda el Operador solicitante (destino); en las columnas se indica la situación en la que está el par sobre el que se solicita el servicio antes de ejecutar el movimiento de alta solicitado (origen o inicio). </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 xml:space="preserve">La cabecera de las matrices identifican si la solicitud (destino) y el origen (inicio) están en SGO o NEON. </w:t>
      </w:r>
    </w:p>
    <w:p w:rsidR="00E02C27" w:rsidRDefault="00E02C27">
      <w:pPr>
        <w:pStyle w:val="TEXTOTA"/>
        <w:keepLines w:val="0"/>
        <w:numPr>
          <w:ilvl w:val="0"/>
          <w:numId w:val="31"/>
        </w:numPr>
        <w:tabs>
          <w:tab w:val="clear" w:pos="1571"/>
          <w:tab w:val="num" w:pos="1429"/>
        </w:tabs>
        <w:spacing w:before="60" w:after="60"/>
        <w:ind w:left="1429"/>
        <w:rPr>
          <w:rFonts w:cs="Arial"/>
          <w:sz w:val="24"/>
          <w:szCs w:val="24"/>
          <w:lang w:val="es-ES"/>
        </w:rPr>
      </w:pPr>
      <w:r>
        <w:rPr>
          <w:rFonts w:cs="Arial"/>
          <w:sz w:val="24"/>
          <w:szCs w:val="24"/>
          <w:lang w:val="es-ES"/>
        </w:rPr>
        <w:t xml:space="preserve">La interpretación de los cuadros de la matriz es la siguiente: </w:t>
      </w:r>
    </w:p>
    <w:p w:rsidR="00E02C27" w:rsidRDefault="00E02C27">
      <w:pPr>
        <w:numPr>
          <w:ilvl w:val="1"/>
          <w:numId w:val="23"/>
        </w:numPr>
        <w:spacing w:before="120"/>
        <w:rPr>
          <w:rFonts w:ascii="Arial" w:hAnsi="Arial" w:cs="Arial"/>
          <w:sz w:val="24"/>
          <w:szCs w:val="24"/>
        </w:rPr>
      </w:pPr>
      <w:r>
        <w:rPr>
          <w:rFonts w:ascii="Arial" w:hAnsi="Arial" w:cs="Arial"/>
          <w:sz w:val="24"/>
          <w:szCs w:val="24"/>
        </w:rPr>
        <w:t>si el cuadro está en blanco significa que el movimiento no tiene que implantarse, bien porque ya existe bien porque no se requiere.</w:t>
      </w:r>
    </w:p>
    <w:p w:rsidR="00E02C27" w:rsidRDefault="00E02C27">
      <w:pPr>
        <w:numPr>
          <w:ilvl w:val="1"/>
          <w:numId w:val="23"/>
        </w:numPr>
        <w:spacing w:before="120"/>
        <w:rPr>
          <w:rFonts w:ascii="Arial" w:hAnsi="Arial" w:cs="Arial"/>
          <w:sz w:val="24"/>
          <w:szCs w:val="24"/>
        </w:rPr>
      </w:pPr>
      <w:r>
        <w:rPr>
          <w:rFonts w:ascii="Arial" w:hAnsi="Arial" w:cs="Arial"/>
          <w:sz w:val="24"/>
          <w:szCs w:val="24"/>
        </w:rPr>
        <w:t xml:space="preserve">Si el cuadro está coloreado significa que este movimiento es nuevo y se tiene que implementar. Los movimientos de migración se implementarán en la Fase </w:t>
      </w:r>
      <w:r w:rsidR="009F0A17">
        <w:rPr>
          <w:rFonts w:ascii="Arial" w:hAnsi="Arial" w:cs="Arial"/>
          <w:sz w:val="24"/>
          <w:szCs w:val="24"/>
        </w:rPr>
        <w:t>2</w:t>
      </w:r>
      <w:r>
        <w:rPr>
          <w:rFonts w:ascii="Arial" w:hAnsi="Arial" w:cs="Arial"/>
          <w:sz w:val="24"/>
          <w:szCs w:val="24"/>
        </w:rPr>
        <w:t xml:space="preserve"> del roadmap de servicios mayoristas (ver apartado 4 de este documento). </w:t>
      </w:r>
    </w:p>
    <w:p w:rsidR="00E02C27" w:rsidRDefault="00E02C27">
      <w:pPr>
        <w:spacing w:before="120"/>
        <w:ind w:left="1593"/>
        <w:rPr>
          <w:rFonts w:ascii="Arial" w:hAnsi="Arial" w:cs="Arial"/>
          <w:sz w:val="24"/>
          <w:szCs w:val="24"/>
        </w:rPr>
      </w:pPr>
    </w:p>
    <w:p w:rsidR="00E02C27" w:rsidRDefault="00E02C27">
      <w:pPr>
        <w:pStyle w:val="EstiloTtulo4"/>
      </w:pPr>
      <w:bookmarkStart w:id="60" w:name="_Toc444784464"/>
      <w:r>
        <w:t>Relación NEBA-GigADSL / ADSL IP (SGO)</w:t>
      </w:r>
      <w:bookmarkEnd w:id="60"/>
    </w:p>
    <w:p w:rsidR="00E02C27" w:rsidRDefault="00E02C27">
      <w:pPr>
        <w:ind w:left="1418" w:hanging="545"/>
      </w:pPr>
    </w:p>
    <w:p w:rsidR="00E02C27" w:rsidRDefault="00E5554F">
      <w:pPr>
        <w:ind w:left="1418" w:hanging="545"/>
        <w:jc w:val="center"/>
        <w:rPr>
          <w:rFonts w:ascii="Arial" w:hAnsi="Arial" w:cs="Arial"/>
          <w:sz w:val="20"/>
          <w:szCs w:val="12"/>
        </w:rPr>
      </w:pPr>
      <w:r>
        <w:rPr>
          <w:noProof/>
        </w:rPr>
        <w:drawing>
          <wp:inline distT="0" distB="0" distL="0" distR="0" wp14:anchorId="31625B94" wp14:editId="256006F2">
            <wp:extent cx="2583180" cy="1097280"/>
            <wp:effectExtent l="0" t="0" r="0" b="762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3180" cy="1097280"/>
                    </a:xfrm>
                    <a:prstGeom prst="rect">
                      <a:avLst/>
                    </a:prstGeom>
                    <a:noFill/>
                    <a:ln>
                      <a:noFill/>
                    </a:ln>
                  </pic:spPr>
                </pic:pic>
              </a:graphicData>
            </a:graphic>
          </wp:inline>
        </w:drawing>
      </w:r>
    </w:p>
    <w:p w:rsidR="00E02C27" w:rsidRDefault="00E02C27">
      <w:pPr>
        <w:ind w:left="1418" w:hanging="545"/>
        <w:rPr>
          <w:rFonts w:ascii="Arial" w:hAnsi="Arial" w:cs="Arial"/>
          <w:sz w:val="20"/>
          <w:szCs w:val="12"/>
        </w:rPr>
      </w:pPr>
    </w:p>
    <w:p w:rsidR="00E02C27" w:rsidRDefault="00E02C27">
      <w:pPr>
        <w:pStyle w:val="TEXTOTA"/>
        <w:keepLines w:val="0"/>
        <w:spacing w:before="60" w:after="60"/>
        <w:ind w:left="1254" w:hanging="545"/>
        <w:rPr>
          <w:rFonts w:cs="Arial"/>
          <w:sz w:val="24"/>
          <w:szCs w:val="24"/>
          <w:lang w:val="es-ES"/>
        </w:rPr>
      </w:pPr>
      <w:r>
        <w:rPr>
          <w:rFonts w:cs="Arial"/>
          <w:sz w:val="24"/>
          <w:szCs w:val="24"/>
          <w:lang w:val="es-ES"/>
        </w:rPr>
        <w:t>Los movimientos de esta relación son los señalados en la siguiente tabla.</w:t>
      </w:r>
    </w:p>
    <w:p w:rsidR="00E02C27" w:rsidRDefault="00E02C27">
      <w:pPr>
        <w:pStyle w:val="TEXTOTA"/>
        <w:keepLines w:val="0"/>
        <w:spacing w:before="60" w:after="60"/>
        <w:ind w:left="1418" w:hanging="545"/>
        <w:rPr>
          <w:rFonts w:cs="Arial"/>
          <w:sz w:val="24"/>
          <w:szCs w:val="24"/>
          <w:lang w:val="es-ES"/>
        </w:rPr>
      </w:pPr>
    </w:p>
    <w:p w:rsidR="00E02C27" w:rsidRDefault="0020308B">
      <w:pPr>
        <w:pStyle w:val="TEXTOTA"/>
        <w:keepNext/>
        <w:keepLines w:val="0"/>
        <w:spacing w:before="60" w:after="60"/>
        <w:ind w:left="545" w:hanging="545"/>
        <w:jc w:val="center"/>
      </w:pPr>
      <w:r>
        <w:object w:dxaOrig="9069"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188.35pt" o:ole="">
            <v:imagedata r:id="rId19" o:title=""/>
          </v:shape>
          <o:OLEObject Type="Embed" ProgID="Word.Document.8" ShapeID="_x0000_i1025" DrawAspect="Content" ObjectID="_1551861912" r:id="rId20">
            <o:FieldCodes>\s</o:FieldCodes>
          </o:OLEObject>
        </w:object>
      </w:r>
    </w:p>
    <w:p w:rsidR="00E02C27" w:rsidRDefault="00E02C27">
      <w:pPr>
        <w:pStyle w:val="Epgrafe"/>
        <w:jc w:val="center"/>
        <w:rPr>
          <w:rFonts w:ascii="Arial" w:hAnsi="Arial" w:cs="Arial"/>
          <w:sz w:val="22"/>
          <w:szCs w:val="22"/>
        </w:rPr>
      </w:pPr>
      <w:r>
        <w:rPr>
          <w:rFonts w:ascii="Arial" w:hAnsi="Arial" w:cs="Arial"/>
          <w:sz w:val="22"/>
          <w:szCs w:val="22"/>
        </w:rPr>
        <w:t xml:space="preserve">Tabla </w:t>
      </w:r>
      <w:r>
        <w:rPr>
          <w:rFonts w:ascii="Arial" w:hAnsi="Arial" w:cs="Arial"/>
          <w:sz w:val="22"/>
          <w:szCs w:val="22"/>
        </w:rPr>
        <w:fldChar w:fldCharType="begin"/>
      </w:r>
      <w:r>
        <w:rPr>
          <w:rFonts w:ascii="Arial" w:hAnsi="Arial" w:cs="Arial"/>
          <w:sz w:val="22"/>
          <w:szCs w:val="22"/>
        </w:rPr>
        <w:instrText xml:space="preserve"> SEQ Tabla \* ARABIC </w:instrText>
      </w:r>
      <w:r>
        <w:rPr>
          <w:rFonts w:ascii="Arial" w:hAnsi="Arial" w:cs="Arial"/>
          <w:sz w:val="22"/>
          <w:szCs w:val="22"/>
        </w:rPr>
        <w:fldChar w:fldCharType="separate"/>
      </w:r>
      <w:r w:rsidR="00115AB9">
        <w:rPr>
          <w:rFonts w:ascii="Arial" w:hAnsi="Arial" w:cs="Arial"/>
          <w:noProof/>
          <w:sz w:val="22"/>
          <w:szCs w:val="22"/>
        </w:rPr>
        <w:t>1</w:t>
      </w:r>
      <w:r>
        <w:rPr>
          <w:rFonts w:ascii="Arial" w:hAnsi="Arial" w:cs="Arial"/>
          <w:sz w:val="22"/>
          <w:szCs w:val="22"/>
        </w:rPr>
        <w:fldChar w:fldCharType="end"/>
      </w:r>
      <w:r>
        <w:rPr>
          <w:rFonts w:ascii="Arial" w:hAnsi="Arial" w:cs="Arial"/>
          <w:sz w:val="22"/>
          <w:szCs w:val="22"/>
        </w:rPr>
        <w:t>: Movimientos comerciales NEBA-GigADSL / ADSL IP (SGO)</w:t>
      </w:r>
    </w:p>
    <w:p w:rsidR="00E02C27" w:rsidRDefault="00E02C27">
      <w:pPr>
        <w:pStyle w:val="Epgrafe"/>
        <w:jc w:val="center"/>
      </w:pPr>
    </w:p>
    <w:p w:rsidR="00E02C27" w:rsidRDefault="00E02C27" w:rsidP="00FC6387">
      <w:pPr>
        <w:pStyle w:val="TEXTOTA"/>
        <w:keepNext/>
        <w:keepLines w:val="0"/>
        <w:spacing w:before="60" w:after="60"/>
        <w:ind w:left="1253" w:hanging="544"/>
        <w:rPr>
          <w:rFonts w:cs="Arial"/>
          <w:sz w:val="24"/>
          <w:szCs w:val="24"/>
          <w:lang w:val="es-ES"/>
        </w:rPr>
      </w:pPr>
      <w:r>
        <w:rPr>
          <w:rFonts w:cs="Arial"/>
          <w:sz w:val="24"/>
          <w:szCs w:val="24"/>
          <w:lang w:val="es-ES"/>
        </w:rPr>
        <w:t xml:space="preserve">Comentarios: </w:t>
      </w:r>
    </w:p>
    <w:p w:rsidR="00E02C27" w:rsidRDefault="00E02C27">
      <w:pPr>
        <w:numPr>
          <w:ilvl w:val="0"/>
          <w:numId w:val="24"/>
        </w:numPr>
        <w:tabs>
          <w:tab w:val="clear" w:pos="1593"/>
        </w:tabs>
        <w:spacing w:before="60" w:after="60"/>
        <w:ind w:left="1418" w:hanging="545"/>
        <w:rPr>
          <w:rFonts w:ascii="Arial" w:hAnsi="Arial" w:cs="Arial"/>
          <w:sz w:val="24"/>
          <w:szCs w:val="24"/>
        </w:rPr>
      </w:pPr>
      <w:r>
        <w:rPr>
          <w:rFonts w:ascii="Arial" w:hAnsi="Arial" w:cs="Arial"/>
          <w:sz w:val="24"/>
          <w:szCs w:val="24"/>
        </w:rPr>
        <w:t>No existen movimientos de NEBA a GigADSL (salvo los referidos en el capítulo 4) porque en las zonas de cobertura NEBA no habrá altas en GigADSL</w:t>
      </w:r>
      <w:r>
        <w:t xml:space="preserve"> </w:t>
      </w:r>
      <w:r>
        <w:rPr>
          <w:rFonts w:ascii="Arial" w:hAnsi="Arial" w:cs="Arial"/>
          <w:sz w:val="24"/>
          <w:szCs w:val="24"/>
        </w:rPr>
        <w:t>una vez se configure de manera satisfactoria el servicio y esté disponible de manera efectiva.</w:t>
      </w:r>
    </w:p>
    <w:p w:rsidR="00E02C27" w:rsidRDefault="00E02C27">
      <w:pPr>
        <w:numPr>
          <w:ilvl w:val="0"/>
          <w:numId w:val="24"/>
        </w:numPr>
        <w:tabs>
          <w:tab w:val="clear" w:pos="1593"/>
        </w:tabs>
        <w:spacing w:before="60" w:after="60"/>
        <w:ind w:left="1418" w:hanging="545"/>
        <w:rPr>
          <w:rFonts w:ascii="Arial" w:hAnsi="Arial" w:cs="Arial"/>
          <w:sz w:val="24"/>
          <w:szCs w:val="24"/>
        </w:rPr>
      </w:pPr>
      <w:r>
        <w:rPr>
          <w:rFonts w:ascii="Arial" w:hAnsi="Arial" w:cs="Arial"/>
          <w:sz w:val="24"/>
          <w:szCs w:val="24"/>
        </w:rPr>
        <w:t>No están contemplados los movimientos de servicios “sin STB” a servicios “con STB”</w:t>
      </w:r>
      <w:bookmarkStart w:id="61" w:name="_Ref274582250"/>
      <w:r w:rsidR="00FD22AD">
        <w:rPr>
          <w:rStyle w:val="Refdenotaalpie"/>
          <w:rFonts w:ascii="Arial" w:hAnsi="Arial" w:cs="Arial"/>
          <w:sz w:val="24"/>
          <w:szCs w:val="24"/>
        </w:rPr>
        <w:footnoteReference w:id="8"/>
      </w:r>
      <w:bookmarkEnd w:id="61"/>
      <w:r>
        <w:rPr>
          <w:rFonts w:ascii="Arial" w:hAnsi="Arial" w:cs="Arial"/>
          <w:sz w:val="24"/>
          <w:szCs w:val="24"/>
        </w:rPr>
        <w:t>.</w:t>
      </w:r>
    </w:p>
    <w:p w:rsidR="00E02C27" w:rsidRDefault="00E02C27">
      <w:pPr>
        <w:pStyle w:val="EstiloTtulo4"/>
      </w:pPr>
      <w:bookmarkStart w:id="62" w:name="_Toc444784465"/>
      <w:r>
        <w:t>Relación NEBA-OBA (NEON)</w:t>
      </w:r>
      <w:bookmarkEnd w:id="62"/>
    </w:p>
    <w:p w:rsidR="00E02C27" w:rsidRDefault="00E02C27" w:rsidP="0084562C">
      <w:pPr>
        <w:keepNext/>
        <w:ind w:left="1417" w:hanging="544"/>
        <w:rPr>
          <w:rFonts w:ascii="Arial" w:hAnsi="Arial" w:cs="Arial"/>
          <w:color w:val="FF0000"/>
          <w:sz w:val="20"/>
          <w:szCs w:val="12"/>
        </w:rPr>
      </w:pPr>
    </w:p>
    <w:p w:rsidR="00E02C27" w:rsidRDefault="00E5554F">
      <w:pPr>
        <w:ind w:left="1418" w:hanging="545"/>
        <w:jc w:val="center"/>
        <w:rPr>
          <w:rFonts w:ascii="Arial" w:hAnsi="Arial" w:cs="Arial"/>
          <w:color w:val="FF0000"/>
          <w:sz w:val="20"/>
          <w:szCs w:val="12"/>
        </w:rPr>
      </w:pPr>
      <w:r>
        <w:rPr>
          <w:noProof/>
        </w:rPr>
        <w:drawing>
          <wp:inline distT="0" distB="0" distL="0" distR="0" wp14:anchorId="6FF74502" wp14:editId="7C1F486C">
            <wp:extent cx="2468880" cy="1097280"/>
            <wp:effectExtent l="0" t="0" r="0" b="762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68880" cy="1097280"/>
                    </a:xfrm>
                    <a:prstGeom prst="rect">
                      <a:avLst/>
                    </a:prstGeom>
                    <a:noFill/>
                    <a:ln>
                      <a:noFill/>
                    </a:ln>
                  </pic:spPr>
                </pic:pic>
              </a:graphicData>
            </a:graphic>
          </wp:inline>
        </w:drawing>
      </w:r>
    </w:p>
    <w:p w:rsidR="00E02C27" w:rsidRDefault="00E02C27">
      <w:pPr>
        <w:ind w:left="1418" w:hanging="545"/>
        <w:rPr>
          <w:rFonts w:ascii="Arial" w:hAnsi="Arial" w:cs="Arial"/>
          <w:color w:val="FF0000"/>
          <w:sz w:val="20"/>
          <w:szCs w:val="12"/>
        </w:rPr>
      </w:pPr>
    </w:p>
    <w:p w:rsidR="00E02C27" w:rsidRDefault="00E02C27">
      <w:pPr>
        <w:pStyle w:val="TEXTOTA"/>
        <w:keepLines w:val="0"/>
        <w:spacing w:before="60" w:after="60"/>
        <w:ind w:left="709"/>
        <w:rPr>
          <w:rFonts w:cs="Arial"/>
          <w:sz w:val="24"/>
          <w:szCs w:val="24"/>
          <w:lang w:val="es-ES"/>
        </w:rPr>
      </w:pPr>
      <w:bookmarkStart w:id="63" w:name="OLE_LINK1"/>
      <w:r>
        <w:rPr>
          <w:rFonts w:cs="Arial"/>
          <w:sz w:val="24"/>
          <w:szCs w:val="24"/>
          <w:lang w:val="es-ES"/>
        </w:rPr>
        <w:t>Los movimientos de esta relación son los señalados en la siguiente tabla</w:t>
      </w:r>
      <w:bookmarkEnd w:id="63"/>
      <w:r>
        <w:rPr>
          <w:rFonts w:cs="Arial"/>
          <w:sz w:val="24"/>
          <w:szCs w:val="24"/>
          <w:lang w:val="es-ES"/>
        </w:rPr>
        <w:t>:</w:t>
      </w:r>
    </w:p>
    <w:p w:rsidR="00E02C27" w:rsidRDefault="00E02C27">
      <w:pPr>
        <w:pStyle w:val="TEXTOTA"/>
        <w:keepLines w:val="0"/>
        <w:spacing w:before="60" w:after="60"/>
        <w:ind w:left="1254" w:hanging="545"/>
        <w:rPr>
          <w:rFonts w:cs="Arial"/>
          <w:sz w:val="24"/>
          <w:szCs w:val="24"/>
          <w:lang w:val="es-ES"/>
        </w:rPr>
      </w:pPr>
    </w:p>
    <w:p w:rsidR="00E02C27" w:rsidRDefault="00E5554F">
      <w:pPr>
        <w:pStyle w:val="TEXTOTA"/>
        <w:keepNext/>
        <w:keepLines w:val="0"/>
        <w:spacing w:before="60" w:after="60"/>
        <w:ind w:left="545" w:hanging="545"/>
        <w:jc w:val="center"/>
      </w:pPr>
      <w:r>
        <w:rPr>
          <w:noProof/>
          <w:lang w:val="es-ES"/>
        </w:rPr>
        <w:drawing>
          <wp:inline distT="0" distB="0" distL="0" distR="0" wp14:anchorId="572A4A40" wp14:editId="0C6F4C33">
            <wp:extent cx="5379720" cy="3368040"/>
            <wp:effectExtent l="0" t="0" r="0" b="381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9720" cy="3368040"/>
                    </a:xfrm>
                    <a:prstGeom prst="rect">
                      <a:avLst/>
                    </a:prstGeom>
                    <a:noFill/>
                    <a:ln>
                      <a:noFill/>
                    </a:ln>
                  </pic:spPr>
                </pic:pic>
              </a:graphicData>
            </a:graphic>
          </wp:inline>
        </w:drawing>
      </w:r>
    </w:p>
    <w:p w:rsidR="00E02C27" w:rsidRDefault="00E02C27">
      <w:pPr>
        <w:pStyle w:val="Epgrafe"/>
        <w:jc w:val="center"/>
        <w:rPr>
          <w:rFonts w:ascii="Arial" w:hAnsi="Arial" w:cs="Arial"/>
          <w:sz w:val="22"/>
          <w:szCs w:val="22"/>
        </w:rPr>
      </w:pPr>
      <w:r>
        <w:rPr>
          <w:rFonts w:ascii="Arial" w:hAnsi="Arial" w:cs="Arial"/>
          <w:sz w:val="22"/>
          <w:szCs w:val="22"/>
        </w:rPr>
        <w:t xml:space="preserve">Tabla </w:t>
      </w:r>
      <w:r>
        <w:rPr>
          <w:rFonts w:ascii="Arial" w:hAnsi="Arial" w:cs="Arial"/>
          <w:sz w:val="22"/>
          <w:szCs w:val="22"/>
        </w:rPr>
        <w:fldChar w:fldCharType="begin"/>
      </w:r>
      <w:r>
        <w:rPr>
          <w:rFonts w:ascii="Arial" w:hAnsi="Arial" w:cs="Arial"/>
          <w:sz w:val="22"/>
          <w:szCs w:val="22"/>
        </w:rPr>
        <w:instrText xml:space="preserve"> SEQ Tabla \* ARABIC </w:instrText>
      </w:r>
      <w:r>
        <w:rPr>
          <w:rFonts w:ascii="Arial" w:hAnsi="Arial" w:cs="Arial"/>
          <w:sz w:val="22"/>
          <w:szCs w:val="22"/>
        </w:rPr>
        <w:fldChar w:fldCharType="separate"/>
      </w:r>
      <w:r w:rsidR="00115AB9">
        <w:rPr>
          <w:rFonts w:ascii="Arial" w:hAnsi="Arial" w:cs="Arial"/>
          <w:noProof/>
          <w:sz w:val="22"/>
          <w:szCs w:val="22"/>
        </w:rPr>
        <w:t>2</w:t>
      </w:r>
      <w:r>
        <w:rPr>
          <w:rFonts w:ascii="Arial" w:hAnsi="Arial" w:cs="Arial"/>
          <w:sz w:val="22"/>
          <w:szCs w:val="22"/>
        </w:rPr>
        <w:fldChar w:fldCharType="end"/>
      </w:r>
      <w:r>
        <w:rPr>
          <w:rFonts w:ascii="Arial" w:hAnsi="Arial" w:cs="Arial"/>
          <w:sz w:val="22"/>
          <w:szCs w:val="22"/>
        </w:rPr>
        <w:t>: Movimientos comerciales NEBA-OBA (NEON)</w:t>
      </w:r>
    </w:p>
    <w:p w:rsidR="00E02C27" w:rsidRDefault="00E02C27">
      <w:pPr>
        <w:pStyle w:val="TEXTOTA"/>
        <w:keepNext/>
        <w:keepLines w:val="0"/>
        <w:spacing w:before="60" w:after="60"/>
        <w:ind w:left="545" w:hanging="545"/>
        <w:jc w:val="center"/>
        <w:rPr>
          <w:rFonts w:cs="Arial"/>
          <w:sz w:val="24"/>
          <w:szCs w:val="24"/>
          <w:lang w:val="es-ES"/>
        </w:rPr>
      </w:pPr>
      <w:r>
        <w:t xml:space="preserve"> </w:t>
      </w:r>
    </w:p>
    <w:p w:rsidR="00E02C27" w:rsidRDefault="00E02C27">
      <w:pPr>
        <w:pStyle w:val="TEXTOTA"/>
        <w:keepLines w:val="0"/>
        <w:spacing w:before="60" w:after="60"/>
        <w:ind w:left="709"/>
        <w:rPr>
          <w:rFonts w:cs="Arial"/>
          <w:sz w:val="24"/>
          <w:szCs w:val="24"/>
          <w:lang w:val="es-ES"/>
        </w:rPr>
      </w:pPr>
      <w:r>
        <w:rPr>
          <w:rFonts w:cs="Arial"/>
          <w:sz w:val="24"/>
          <w:szCs w:val="24"/>
          <w:lang w:val="es-ES"/>
        </w:rPr>
        <w:t xml:space="preserve">Comentarios: </w:t>
      </w:r>
    </w:p>
    <w:p w:rsidR="00E02C27" w:rsidRDefault="00E02C27">
      <w:pPr>
        <w:numPr>
          <w:ilvl w:val="0"/>
          <w:numId w:val="24"/>
        </w:numPr>
        <w:tabs>
          <w:tab w:val="clear" w:pos="1593"/>
        </w:tabs>
        <w:spacing w:before="60" w:after="60"/>
        <w:ind w:left="1418" w:hanging="545"/>
        <w:rPr>
          <w:rFonts w:ascii="Arial" w:hAnsi="Arial" w:cs="Arial"/>
          <w:sz w:val="24"/>
          <w:szCs w:val="24"/>
        </w:rPr>
      </w:pPr>
      <w:r>
        <w:rPr>
          <w:rFonts w:ascii="Arial" w:hAnsi="Arial" w:cs="Arial"/>
          <w:sz w:val="24"/>
          <w:szCs w:val="24"/>
        </w:rPr>
        <w:t>Esta tabla muestra los movimientos que existirán en la situación entre NEBA y OBA (servicios de acceso directo) en NEON.</w:t>
      </w:r>
    </w:p>
    <w:p w:rsidR="00E02C27" w:rsidRDefault="00E02C27">
      <w:pPr>
        <w:numPr>
          <w:ilvl w:val="0"/>
          <w:numId w:val="24"/>
        </w:numPr>
        <w:tabs>
          <w:tab w:val="clear" w:pos="1593"/>
        </w:tabs>
        <w:spacing w:before="60" w:after="60"/>
        <w:ind w:left="1418" w:hanging="545"/>
        <w:rPr>
          <w:rFonts w:ascii="Arial" w:hAnsi="Arial" w:cs="Arial"/>
          <w:sz w:val="24"/>
          <w:szCs w:val="24"/>
        </w:rPr>
      </w:pPr>
      <w:r>
        <w:rPr>
          <w:rFonts w:ascii="Arial" w:hAnsi="Arial" w:cs="Arial"/>
          <w:sz w:val="24"/>
          <w:szCs w:val="24"/>
        </w:rPr>
        <w:t>No están contemplados los movimientos de servicios “sin STB” a servicios “con STB”</w:t>
      </w:r>
      <w:r w:rsidR="00F93BCA" w:rsidRPr="00F93BCA">
        <w:rPr>
          <w:rFonts w:ascii="Arial" w:hAnsi="Arial" w:cs="Arial"/>
          <w:sz w:val="24"/>
          <w:szCs w:val="24"/>
          <w:vertAlign w:val="superscript"/>
        </w:rPr>
        <w:fldChar w:fldCharType="begin"/>
      </w:r>
      <w:r w:rsidR="00F93BCA" w:rsidRPr="00F93BCA">
        <w:rPr>
          <w:rFonts w:ascii="Arial" w:hAnsi="Arial" w:cs="Arial"/>
          <w:sz w:val="24"/>
          <w:szCs w:val="24"/>
          <w:vertAlign w:val="superscript"/>
        </w:rPr>
        <w:instrText xml:space="preserve"> NOTEREF _Ref274582250 \h </w:instrText>
      </w:r>
      <w:r w:rsidR="00F93BCA">
        <w:rPr>
          <w:rFonts w:ascii="Arial" w:hAnsi="Arial" w:cs="Arial"/>
          <w:sz w:val="24"/>
          <w:szCs w:val="24"/>
          <w:vertAlign w:val="superscript"/>
        </w:rPr>
        <w:instrText xml:space="preserve"> \* MERGEFORMAT </w:instrText>
      </w:r>
      <w:r w:rsidR="00F93BCA" w:rsidRPr="00F93BCA">
        <w:rPr>
          <w:rFonts w:ascii="Arial" w:hAnsi="Arial" w:cs="Arial"/>
          <w:sz w:val="24"/>
          <w:szCs w:val="24"/>
          <w:vertAlign w:val="superscript"/>
        </w:rPr>
      </w:r>
      <w:r w:rsidR="00F93BCA" w:rsidRPr="00F93BCA">
        <w:rPr>
          <w:rFonts w:ascii="Arial" w:hAnsi="Arial" w:cs="Arial"/>
          <w:sz w:val="24"/>
          <w:szCs w:val="24"/>
          <w:vertAlign w:val="superscript"/>
        </w:rPr>
        <w:fldChar w:fldCharType="separate"/>
      </w:r>
      <w:r w:rsidR="00115AB9">
        <w:rPr>
          <w:rFonts w:ascii="Arial" w:hAnsi="Arial" w:cs="Arial"/>
          <w:sz w:val="24"/>
          <w:szCs w:val="24"/>
          <w:vertAlign w:val="superscript"/>
        </w:rPr>
        <w:t>6</w:t>
      </w:r>
      <w:r w:rsidR="00F93BCA" w:rsidRPr="00F93BCA">
        <w:rPr>
          <w:rFonts w:ascii="Arial" w:hAnsi="Arial" w:cs="Arial"/>
          <w:sz w:val="24"/>
          <w:szCs w:val="24"/>
          <w:vertAlign w:val="superscript"/>
        </w:rPr>
        <w:fldChar w:fldCharType="end"/>
      </w:r>
      <w:r>
        <w:rPr>
          <w:rFonts w:ascii="Arial" w:hAnsi="Arial" w:cs="Arial"/>
          <w:sz w:val="24"/>
          <w:szCs w:val="24"/>
        </w:rPr>
        <w:t>.</w:t>
      </w:r>
    </w:p>
    <w:p w:rsidR="000E24B9" w:rsidRPr="000E24B9" w:rsidRDefault="000E24B9" w:rsidP="007A3BA5">
      <w:pPr>
        <w:pStyle w:val="EstiloTtulo4"/>
        <w:numPr>
          <w:ilvl w:val="0"/>
          <w:numId w:val="0"/>
        </w:numPr>
        <w:ind w:left="372" w:hanging="372"/>
      </w:pPr>
      <w:bookmarkStart w:id="64" w:name="_Toc256064564"/>
      <w:bookmarkStart w:id="65" w:name="_Toc256071924"/>
      <w:bookmarkStart w:id="66" w:name="_Toc256073083"/>
      <w:bookmarkStart w:id="67" w:name="_Toc256164900"/>
      <w:bookmarkEnd w:id="64"/>
      <w:bookmarkEnd w:id="65"/>
      <w:bookmarkEnd w:id="66"/>
      <w:bookmarkEnd w:id="67"/>
    </w:p>
    <w:p w:rsidR="00E02C27" w:rsidRDefault="00E02C27">
      <w:pPr>
        <w:pStyle w:val="EstiloTtulo4"/>
      </w:pPr>
      <w:bookmarkStart w:id="68" w:name="_Toc444784466"/>
      <w:r>
        <w:t>Relación NEBA-Minoristas</w:t>
      </w:r>
      <w:bookmarkEnd w:id="68"/>
      <w:r>
        <w:t xml:space="preserve">  </w:t>
      </w:r>
    </w:p>
    <w:p w:rsidR="00E02C27" w:rsidRDefault="00E02C27">
      <w:pPr>
        <w:ind w:left="1418" w:hanging="545"/>
        <w:rPr>
          <w:rFonts w:ascii="Arial" w:hAnsi="Arial" w:cs="Arial"/>
          <w:sz w:val="20"/>
          <w:szCs w:val="12"/>
        </w:rPr>
      </w:pPr>
    </w:p>
    <w:p w:rsidR="00E02C27" w:rsidRPr="0020308B" w:rsidRDefault="00E5554F">
      <w:pPr>
        <w:keepNext/>
        <w:spacing w:before="120"/>
        <w:ind w:left="545" w:hanging="545"/>
        <w:jc w:val="center"/>
      </w:pPr>
      <w:r>
        <w:rPr>
          <w:noProof/>
        </w:rPr>
        <w:drawing>
          <wp:inline distT="0" distB="0" distL="0" distR="0" wp14:anchorId="24CAF6ED" wp14:editId="196FB6FE">
            <wp:extent cx="5608320" cy="335280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08320" cy="3352800"/>
                    </a:xfrm>
                    <a:prstGeom prst="rect">
                      <a:avLst/>
                    </a:prstGeom>
                    <a:noFill/>
                    <a:ln>
                      <a:noFill/>
                    </a:ln>
                  </pic:spPr>
                </pic:pic>
              </a:graphicData>
            </a:graphic>
          </wp:inline>
        </w:drawing>
      </w:r>
    </w:p>
    <w:p w:rsidR="00E02C27" w:rsidRDefault="00E02C27">
      <w:pPr>
        <w:pStyle w:val="Epgrafe"/>
        <w:tabs>
          <w:tab w:val="left" w:pos="1668"/>
          <w:tab w:val="center" w:pos="5539"/>
        </w:tabs>
        <w:jc w:val="left"/>
        <w:rPr>
          <w:rFonts w:ascii="Arial" w:hAnsi="Arial" w:cs="Arial"/>
          <w:sz w:val="22"/>
          <w:szCs w:val="22"/>
        </w:rPr>
      </w:pPr>
      <w:r>
        <w:rPr>
          <w:rFonts w:ascii="Arial" w:hAnsi="Arial" w:cs="Arial"/>
          <w:sz w:val="22"/>
          <w:szCs w:val="22"/>
        </w:rPr>
        <w:tab/>
      </w:r>
      <w:r>
        <w:rPr>
          <w:rFonts w:ascii="Arial" w:hAnsi="Arial" w:cs="Arial"/>
          <w:sz w:val="22"/>
          <w:szCs w:val="22"/>
        </w:rPr>
        <w:tab/>
        <w:t xml:space="preserve">Tabla </w:t>
      </w:r>
      <w:r>
        <w:rPr>
          <w:rFonts w:ascii="Arial" w:hAnsi="Arial" w:cs="Arial"/>
          <w:sz w:val="22"/>
          <w:szCs w:val="22"/>
        </w:rPr>
        <w:fldChar w:fldCharType="begin"/>
      </w:r>
      <w:r>
        <w:rPr>
          <w:rFonts w:ascii="Arial" w:hAnsi="Arial" w:cs="Arial"/>
          <w:sz w:val="22"/>
          <w:szCs w:val="22"/>
        </w:rPr>
        <w:instrText xml:space="preserve"> SEQ Tabla \* ARABIC </w:instrText>
      </w:r>
      <w:r>
        <w:rPr>
          <w:rFonts w:ascii="Arial" w:hAnsi="Arial" w:cs="Arial"/>
          <w:sz w:val="22"/>
          <w:szCs w:val="22"/>
        </w:rPr>
        <w:fldChar w:fldCharType="separate"/>
      </w:r>
      <w:r w:rsidR="00115AB9">
        <w:rPr>
          <w:rFonts w:ascii="Arial" w:hAnsi="Arial" w:cs="Arial"/>
          <w:noProof/>
          <w:sz w:val="22"/>
          <w:szCs w:val="22"/>
        </w:rPr>
        <w:t>3</w:t>
      </w:r>
      <w:r>
        <w:rPr>
          <w:rFonts w:ascii="Arial" w:hAnsi="Arial" w:cs="Arial"/>
          <w:sz w:val="22"/>
          <w:szCs w:val="22"/>
        </w:rPr>
        <w:fldChar w:fldCharType="end"/>
      </w:r>
      <w:r>
        <w:rPr>
          <w:rFonts w:ascii="Arial" w:hAnsi="Arial" w:cs="Arial"/>
          <w:sz w:val="22"/>
          <w:szCs w:val="22"/>
        </w:rPr>
        <w:t>: Movimientos comerciales NEBA-Minoristas</w:t>
      </w:r>
    </w:p>
    <w:p w:rsidR="00E02C27" w:rsidRDefault="00E02C27">
      <w:pPr>
        <w:spacing w:before="120"/>
        <w:ind w:left="545" w:hanging="545"/>
        <w:jc w:val="center"/>
        <w:rPr>
          <w:rFonts w:ascii="Arial" w:hAnsi="Arial" w:cs="Arial"/>
          <w:sz w:val="20"/>
          <w:szCs w:val="12"/>
        </w:rPr>
      </w:pPr>
    </w:p>
    <w:p w:rsidR="00E02C27" w:rsidRDefault="00E02C27">
      <w:pPr>
        <w:pStyle w:val="TEXTOTA"/>
        <w:keepLines w:val="0"/>
        <w:spacing w:before="60" w:after="60"/>
        <w:ind w:left="1254" w:hanging="545"/>
        <w:rPr>
          <w:rFonts w:cs="Arial"/>
          <w:sz w:val="24"/>
          <w:szCs w:val="24"/>
          <w:lang w:val="es-ES"/>
        </w:rPr>
      </w:pPr>
      <w:r>
        <w:rPr>
          <w:rFonts w:cs="Arial"/>
          <w:sz w:val="24"/>
          <w:szCs w:val="24"/>
          <w:lang w:val="es-ES"/>
        </w:rPr>
        <w:t xml:space="preserve">Comentarios: </w:t>
      </w:r>
    </w:p>
    <w:p w:rsidR="00E02C27" w:rsidRDefault="00E02C27">
      <w:pPr>
        <w:numPr>
          <w:ilvl w:val="0"/>
          <w:numId w:val="24"/>
        </w:numPr>
        <w:tabs>
          <w:tab w:val="clear" w:pos="1593"/>
        </w:tabs>
        <w:spacing w:before="60" w:after="60"/>
        <w:ind w:left="1418" w:hanging="545"/>
        <w:rPr>
          <w:rFonts w:ascii="Arial" w:hAnsi="Arial" w:cs="Arial"/>
          <w:sz w:val="24"/>
          <w:szCs w:val="24"/>
        </w:rPr>
      </w:pPr>
      <w:r>
        <w:rPr>
          <w:rFonts w:ascii="Arial" w:hAnsi="Arial" w:cs="Arial"/>
          <w:sz w:val="24"/>
          <w:szCs w:val="24"/>
        </w:rPr>
        <w:t>Esta tabla muestra los movimientos que existirán entre NEBA y los servicios minoristas actuales.</w:t>
      </w:r>
    </w:p>
    <w:p w:rsidR="00E02C27" w:rsidRDefault="00E02C27">
      <w:pPr>
        <w:numPr>
          <w:ilvl w:val="0"/>
          <w:numId w:val="24"/>
        </w:numPr>
        <w:tabs>
          <w:tab w:val="clear" w:pos="1593"/>
        </w:tabs>
        <w:spacing w:before="60" w:after="60"/>
        <w:ind w:left="1418" w:hanging="545"/>
        <w:rPr>
          <w:rFonts w:ascii="Arial" w:hAnsi="Arial" w:cs="Arial"/>
          <w:sz w:val="24"/>
          <w:szCs w:val="24"/>
        </w:rPr>
      </w:pPr>
      <w:r>
        <w:rPr>
          <w:rFonts w:ascii="Arial" w:hAnsi="Arial" w:cs="Arial"/>
          <w:sz w:val="24"/>
          <w:szCs w:val="24"/>
        </w:rPr>
        <w:t>No están contemplados los movimientos de servicios “sin STB” a servicios “con STB”.</w:t>
      </w:r>
    </w:p>
    <w:p w:rsidR="00E02C27" w:rsidRPr="0084562C" w:rsidRDefault="00E02C27">
      <w:pPr>
        <w:spacing w:before="120"/>
        <w:ind w:left="545" w:hanging="545"/>
        <w:jc w:val="center"/>
        <w:rPr>
          <w:rFonts w:ascii="Arial" w:hAnsi="Arial" w:cs="Arial"/>
          <w:sz w:val="16"/>
          <w:szCs w:val="16"/>
        </w:rPr>
      </w:pPr>
      <w:r>
        <w:rPr>
          <w:rFonts w:ascii="Arial" w:hAnsi="Arial" w:cs="Arial"/>
          <w:sz w:val="20"/>
          <w:szCs w:val="12"/>
        </w:rPr>
        <w:br w:type="page"/>
      </w:r>
    </w:p>
    <w:p w:rsidR="00E02C27" w:rsidRDefault="00E02C27">
      <w:pPr>
        <w:pStyle w:val="EstiloTtulo1"/>
      </w:pPr>
      <w:bookmarkStart w:id="69" w:name="_Toc444784467"/>
      <w:r>
        <w:t>CONDICIONES PARA EL DESPLIEGUE Y CONVIVENCIA DE SERVICIOS</w:t>
      </w:r>
      <w:bookmarkEnd w:id="69"/>
    </w:p>
    <w:p w:rsidR="00E02C27" w:rsidRDefault="00E02C27">
      <w:pPr>
        <w:pStyle w:val="Textoindependiente"/>
        <w:spacing w:before="60" w:after="60"/>
        <w:ind w:left="432"/>
        <w:rPr>
          <w:rFonts w:ascii="Arial" w:hAnsi="Arial" w:cs="Arial"/>
          <w:lang w:val="es-ES"/>
        </w:rPr>
      </w:pPr>
      <w:r>
        <w:rPr>
          <w:rFonts w:ascii="Arial" w:hAnsi="Arial" w:cs="Arial"/>
          <w:lang w:val="es-ES"/>
        </w:rPr>
        <w:t>Los movimientos desde el servicio NEBA hacia GigADSL no se desarrollarán en NEON ya que NEBA se considera, de conformidad con el análisis de mercado relevante, un sustituto de GigADSL.</w:t>
      </w:r>
      <w:r w:rsidR="009B3FC4">
        <w:rPr>
          <w:rFonts w:ascii="Arial" w:hAnsi="Arial" w:cs="Arial"/>
          <w:lang w:val="es-ES"/>
        </w:rPr>
        <w:t xml:space="preserve"> Ahora bien, en tanto no </w:t>
      </w:r>
      <w:r w:rsidR="00F74AAB">
        <w:rPr>
          <w:rFonts w:ascii="Arial" w:hAnsi="Arial" w:cs="Arial"/>
          <w:lang w:val="es-ES"/>
        </w:rPr>
        <w:t xml:space="preserve">se determinen por la </w:t>
      </w:r>
      <w:r w:rsidR="00E5554F">
        <w:rPr>
          <w:rFonts w:ascii="Arial" w:hAnsi="Arial" w:cs="Arial"/>
          <w:lang w:val="es-ES"/>
        </w:rPr>
        <w:t xml:space="preserve">CNMC </w:t>
      </w:r>
      <w:r w:rsidR="00F74AAB">
        <w:rPr>
          <w:rFonts w:ascii="Arial" w:hAnsi="Arial" w:cs="Arial"/>
          <w:lang w:val="es-ES"/>
        </w:rPr>
        <w:t>las condiciones para la extinción de GigADSL</w:t>
      </w:r>
      <w:r w:rsidR="009B3FC4">
        <w:rPr>
          <w:rFonts w:ascii="Arial" w:hAnsi="Arial" w:cs="Arial"/>
          <w:lang w:val="es-ES"/>
        </w:rPr>
        <w:t xml:space="preserve">, Telefónica dará mantenimiento y evolucionará de forma efectiva en SGO </w:t>
      </w:r>
      <w:r w:rsidR="00F74AAB">
        <w:rPr>
          <w:rFonts w:ascii="Arial" w:hAnsi="Arial" w:cs="Arial"/>
          <w:lang w:val="es-ES"/>
        </w:rPr>
        <w:t xml:space="preserve">dicho servicio </w:t>
      </w:r>
      <w:r w:rsidR="009B3FC4">
        <w:rPr>
          <w:rFonts w:ascii="Arial" w:hAnsi="Arial" w:cs="Arial"/>
          <w:lang w:val="es-ES"/>
        </w:rPr>
        <w:t xml:space="preserve">(al igual que </w:t>
      </w:r>
      <w:r w:rsidR="00F74AAB">
        <w:rPr>
          <w:rFonts w:ascii="Arial" w:hAnsi="Arial" w:cs="Arial"/>
          <w:lang w:val="es-ES"/>
        </w:rPr>
        <w:t xml:space="preserve">en el caso de </w:t>
      </w:r>
      <w:r w:rsidR="009B3FC4">
        <w:rPr>
          <w:rFonts w:ascii="Arial" w:hAnsi="Arial" w:cs="Arial"/>
          <w:lang w:val="es-ES"/>
        </w:rPr>
        <w:t>ADSL</w:t>
      </w:r>
      <w:r w:rsidR="00F74AAB">
        <w:rPr>
          <w:rFonts w:ascii="Arial" w:hAnsi="Arial" w:cs="Arial"/>
          <w:lang w:val="es-ES"/>
        </w:rPr>
        <w:noBreakHyphen/>
      </w:r>
      <w:r w:rsidR="009B3FC4">
        <w:rPr>
          <w:rFonts w:ascii="Arial" w:hAnsi="Arial" w:cs="Arial"/>
          <w:lang w:val="es-ES"/>
        </w:rPr>
        <w:t>IP</w:t>
      </w:r>
      <w:r w:rsidR="00F74AAB">
        <w:rPr>
          <w:rFonts w:ascii="Arial" w:hAnsi="Arial" w:cs="Arial"/>
          <w:lang w:val="es-ES"/>
        </w:rPr>
        <w:t>,</w:t>
      </w:r>
      <w:r w:rsidR="009B3FC4">
        <w:rPr>
          <w:rFonts w:ascii="Arial" w:hAnsi="Arial" w:cs="Arial"/>
          <w:lang w:val="es-ES"/>
        </w:rPr>
        <w:t xml:space="preserve"> en tanto no se concluya </w:t>
      </w:r>
      <w:r w:rsidR="00F74AAB">
        <w:rPr>
          <w:rFonts w:ascii="Arial" w:hAnsi="Arial" w:cs="Arial"/>
          <w:lang w:val="es-ES"/>
        </w:rPr>
        <w:t xml:space="preserve">satisfactoriamente </w:t>
      </w:r>
      <w:r w:rsidR="009B3FC4">
        <w:rPr>
          <w:rFonts w:ascii="Arial" w:hAnsi="Arial" w:cs="Arial"/>
          <w:lang w:val="es-ES"/>
        </w:rPr>
        <w:t>su migración a NEON).</w:t>
      </w:r>
    </w:p>
    <w:p w:rsidR="00E02C27" w:rsidRDefault="00E02C27">
      <w:pPr>
        <w:pStyle w:val="Textoindependiente"/>
        <w:spacing w:before="60" w:after="60"/>
        <w:ind w:left="432"/>
        <w:rPr>
          <w:rFonts w:ascii="Arial" w:hAnsi="Arial" w:cs="Arial"/>
          <w:lang w:val="es-ES"/>
        </w:rPr>
      </w:pPr>
      <w:r>
        <w:rPr>
          <w:rFonts w:ascii="Arial" w:hAnsi="Arial" w:cs="Arial"/>
          <w:lang w:val="es-ES"/>
        </w:rPr>
        <w:t>No obstante, durante el periodo limitado de coexistencia, se atenderán los eventuales movimientos de “restauración de conexiones” desde NEBA a GigADSL que solicite un Operador a través de procedimientos manuales ad-hoc que eviten o minimicen los problemas administrativos y de interrupción de servicio así como las eficiencias que se puedan producir.</w:t>
      </w:r>
    </w:p>
    <w:p w:rsidR="00E02C27" w:rsidRDefault="00E02C27">
      <w:pPr>
        <w:pStyle w:val="Textoindependiente"/>
        <w:spacing w:before="60" w:after="60"/>
        <w:ind w:left="432"/>
        <w:rPr>
          <w:rFonts w:ascii="Arial" w:hAnsi="Arial" w:cs="Arial"/>
          <w:lang w:val="es-ES"/>
        </w:rPr>
      </w:pPr>
      <w:r>
        <w:rPr>
          <w:rFonts w:ascii="Arial" w:hAnsi="Arial" w:cs="Arial"/>
          <w:lang w:val="es-ES"/>
        </w:rPr>
        <w:t xml:space="preserve">Se debe tener en cuenta que dicho procedimiento de restauración de conexiones implicará  siempre el cambio de DSLAM cuando se trate de una restauración de conexiones  GigADSL. </w:t>
      </w:r>
    </w:p>
    <w:p w:rsidR="0084562C" w:rsidRDefault="00E02C27" w:rsidP="0084562C">
      <w:pPr>
        <w:pStyle w:val="Textoindependiente"/>
        <w:spacing w:before="60"/>
        <w:ind w:left="431"/>
        <w:rPr>
          <w:rFonts w:ascii="Arial" w:hAnsi="Arial" w:cs="Arial"/>
          <w:color w:val="FF0000"/>
          <w:lang w:val="es-ES"/>
        </w:rPr>
      </w:pPr>
      <w:r>
        <w:rPr>
          <w:rFonts w:ascii="Arial" w:hAnsi="Arial" w:cs="Arial"/>
          <w:lang w:val="es-ES"/>
        </w:rPr>
        <w:t>Dado que el movimiento no existirá como tal sino que se tratará de atender una solicitud que se considere razonable realizada durante el plazo limitado de coexistencia [a determinar], se establecerá un precio para dicho movimiento que tenga en cuenta los trabajos a realizar.</w:t>
      </w:r>
    </w:p>
    <w:p w:rsidR="00E02C27" w:rsidRDefault="00E02C27" w:rsidP="0084562C">
      <w:pPr>
        <w:pStyle w:val="Textoindependiente"/>
        <w:spacing w:before="60" w:after="60"/>
        <w:ind w:left="432"/>
      </w:pPr>
    </w:p>
    <w:p w:rsidR="00E02C27" w:rsidRDefault="00E5554F">
      <w:pPr>
        <w:pStyle w:val="Textoindependiente"/>
        <w:spacing w:before="60" w:after="60"/>
        <w:ind w:left="0"/>
        <w:jc w:val="center"/>
        <w:rPr>
          <w:rFonts w:ascii="Arial" w:hAnsi="Arial" w:cs="Arial"/>
          <w:b/>
          <w:sz w:val="22"/>
          <w:szCs w:val="22"/>
        </w:rPr>
      </w:pPr>
      <w:r>
        <w:rPr>
          <w:noProof/>
          <w:lang w:val="es-ES"/>
        </w:rPr>
        <w:drawing>
          <wp:inline distT="0" distB="0" distL="0" distR="0" wp14:anchorId="6DCC0064" wp14:editId="4637FF87">
            <wp:extent cx="5608320" cy="38100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08320" cy="3810000"/>
                    </a:xfrm>
                    <a:prstGeom prst="rect">
                      <a:avLst/>
                    </a:prstGeom>
                    <a:noFill/>
                    <a:ln>
                      <a:noFill/>
                    </a:ln>
                  </pic:spPr>
                </pic:pic>
              </a:graphicData>
            </a:graphic>
          </wp:inline>
        </w:drawing>
      </w:r>
      <w:r w:rsidR="00E02C27">
        <w:t xml:space="preserve">             </w:t>
      </w:r>
      <w:r w:rsidR="00E02C27">
        <w:rPr>
          <w:rFonts w:ascii="Arial" w:hAnsi="Arial" w:cs="Arial"/>
          <w:b/>
          <w:sz w:val="22"/>
          <w:szCs w:val="22"/>
        </w:rPr>
        <w:t xml:space="preserve">Figura 8. Roadmap servicios Mayoristas en NEON </w:t>
      </w:r>
    </w:p>
    <w:p w:rsidR="00E02C27" w:rsidRDefault="00E02C27">
      <w:pPr>
        <w:tabs>
          <w:tab w:val="left" w:pos="6015"/>
        </w:tabs>
        <w:ind w:left="1418" w:hanging="545"/>
        <w:jc w:val="left"/>
        <w:rPr>
          <w:rFonts w:ascii="Arial" w:hAnsi="Arial" w:cs="Arial"/>
          <w:b/>
          <w:i/>
          <w:sz w:val="20"/>
          <w:szCs w:val="22"/>
        </w:rPr>
      </w:pPr>
      <w:r>
        <w:rPr>
          <w:rFonts w:ascii="Arial" w:hAnsi="Arial" w:cs="Arial"/>
          <w:b/>
          <w:i/>
          <w:sz w:val="20"/>
          <w:szCs w:val="22"/>
        </w:rPr>
        <w:tab/>
      </w:r>
    </w:p>
    <w:p w:rsidR="00E02C27" w:rsidRDefault="00E02C27">
      <w:pPr>
        <w:pStyle w:val="Textoindependiente"/>
        <w:spacing w:before="60" w:after="60"/>
        <w:ind w:left="432"/>
        <w:rPr>
          <w:rFonts w:ascii="Arial" w:hAnsi="Arial" w:cs="Arial"/>
          <w:lang w:val="es-ES"/>
        </w:rPr>
      </w:pPr>
      <w:r>
        <w:rPr>
          <w:rFonts w:ascii="Arial" w:hAnsi="Arial" w:cs="Arial"/>
          <w:lang w:val="es-ES"/>
        </w:rPr>
        <w:t>En la figura se contemplan los diversos escenarios y transiciones tras las diversas implantaciones en NEON:</w:t>
      </w:r>
    </w:p>
    <w:p w:rsidR="00E02C27" w:rsidRDefault="00E02C27">
      <w:pPr>
        <w:pStyle w:val="Textoindependiente"/>
        <w:numPr>
          <w:ilvl w:val="0"/>
          <w:numId w:val="57"/>
        </w:numPr>
        <w:spacing w:before="60" w:after="60"/>
        <w:rPr>
          <w:rFonts w:ascii="Arial" w:hAnsi="Arial" w:cs="Arial"/>
          <w:lang w:val="es-ES"/>
        </w:rPr>
      </w:pPr>
      <w:r>
        <w:rPr>
          <w:rFonts w:ascii="Arial" w:hAnsi="Arial" w:cs="Arial"/>
          <w:lang w:val="es-ES"/>
        </w:rPr>
        <w:t xml:space="preserve">Fase 0: escenario de servicios indirectos </w:t>
      </w:r>
      <w:r w:rsidR="00815682">
        <w:rPr>
          <w:rFonts w:ascii="Arial" w:hAnsi="Arial" w:cs="Arial"/>
          <w:lang w:val="es-ES"/>
        </w:rPr>
        <w:t>anteriores a NEBA</w:t>
      </w:r>
      <w:r>
        <w:rPr>
          <w:rFonts w:ascii="Arial" w:hAnsi="Arial" w:cs="Arial"/>
          <w:lang w:val="es-ES"/>
        </w:rPr>
        <w:t>.</w:t>
      </w:r>
    </w:p>
    <w:p w:rsidR="00E02C27" w:rsidRDefault="00E02C27">
      <w:pPr>
        <w:pStyle w:val="Textoindependiente"/>
        <w:numPr>
          <w:ilvl w:val="0"/>
          <w:numId w:val="57"/>
        </w:numPr>
        <w:spacing w:before="60" w:after="60"/>
        <w:rPr>
          <w:rFonts w:ascii="Arial" w:hAnsi="Arial" w:cs="Arial"/>
          <w:lang w:val="es-ES"/>
        </w:rPr>
      </w:pPr>
      <w:r>
        <w:rPr>
          <w:rFonts w:ascii="Arial" w:hAnsi="Arial" w:cs="Arial"/>
          <w:lang w:val="es-ES"/>
        </w:rPr>
        <w:t>Fase 1: implantación de la prolongación de par (OBA) en NEON y sus movimientos comerciales</w:t>
      </w:r>
      <w:r w:rsidR="002815EF">
        <w:rPr>
          <w:rFonts w:ascii="Arial" w:hAnsi="Arial" w:cs="Arial"/>
          <w:lang w:val="es-ES"/>
        </w:rPr>
        <w:t xml:space="preserve"> y de la etapa 1 de NEBA </w:t>
      </w:r>
      <w:r>
        <w:rPr>
          <w:rFonts w:ascii="Arial" w:hAnsi="Arial" w:cs="Arial"/>
          <w:lang w:val="es-ES"/>
        </w:rPr>
        <w:t xml:space="preserve">. </w:t>
      </w:r>
    </w:p>
    <w:p w:rsidR="00E02C27" w:rsidRDefault="00E02C27">
      <w:pPr>
        <w:pStyle w:val="Textoindependiente"/>
        <w:numPr>
          <w:ilvl w:val="0"/>
          <w:numId w:val="57"/>
        </w:numPr>
        <w:spacing w:before="60" w:after="60"/>
        <w:rPr>
          <w:rFonts w:ascii="Arial" w:hAnsi="Arial" w:cs="Arial"/>
          <w:lang w:val="es-ES"/>
        </w:rPr>
      </w:pPr>
      <w:r>
        <w:rPr>
          <w:rFonts w:ascii="Arial" w:hAnsi="Arial" w:cs="Arial"/>
          <w:lang w:val="es-ES"/>
        </w:rPr>
        <w:t>Fase 2: implantación de la etapa 2 del NEBA en NEON. En esta fase se implantarán además los movimientos del servicio (</w:t>
      </w:r>
      <w:r>
        <w:rPr>
          <w:rFonts w:ascii="Arial" w:hAnsi="Arial" w:cs="Arial"/>
          <w:i/>
          <w:lang w:val="es-ES"/>
        </w:rPr>
        <w:t>ver apartado 4.1</w:t>
      </w:r>
      <w:r>
        <w:rPr>
          <w:rFonts w:ascii="Arial" w:hAnsi="Arial" w:cs="Arial"/>
          <w:lang w:val="es-ES"/>
        </w:rPr>
        <w:t>).</w:t>
      </w:r>
    </w:p>
    <w:p w:rsidR="00E02C27" w:rsidRDefault="00E02C27">
      <w:pPr>
        <w:pStyle w:val="Textoindependiente"/>
        <w:spacing w:before="60" w:after="60"/>
        <w:ind w:left="432"/>
        <w:rPr>
          <w:rFonts w:ascii="Arial" w:hAnsi="Arial" w:cs="Arial"/>
          <w:lang w:val="es-ES"/>
        </w:rPr>
      </w:pPr>
      <w:r>
        <w:rPr>
          <w:rFonts w:ascii="Arial" w:hAnsi="Arial" w:cs="Arial"/>
          <w:lang w:val="es-ES"/>
        </w:rPr>
        <w:t>Además, debe señalarse que los diagramas de movimientos precedentes implican varios desarrollos en SGO, cuya necesidad debería reevaluarse para identificar aquellos que puedan ser evitables. Se trata de los siguientes:</w:t>
      </w:r>
    </w:p>
    <w:p w:rsidR="00E02C27" w:rsidRDefault="00E02C27">
      <w:pPr>
        <w:pStyle w:val="Textoindependiente"/>
        <w:numPr>
          <w:ilvl w:val="0"/>
          <w:numId w:val="57"/>
        </w:numPr>
        <w:spacing w:before="60" w:after="60"/>
        <w:rPr>
          <w:rFonts w:ascii="Arial" w:hAnsi="Arial" w:cs="Arial"/>
          <w:lang w:val="es-ES"/>
        </w:rPr>
      </w:pPr>
      <w:r>
        <w:rPr>
          <w:rFonts w:ascii="Arial" w:hAnsi="Arial" w:cs="Arial"/>
          <w:lang w:val="es-ES"/>
        </w:rPr>
        <w:t>Desarrollo de altas de prolongación de par (OBA) sobre SGO con origen en prolongación de par OBA (NEON), sólo para el periodo de convivencia.</w:t>
      </w:r>
    </w:p>
    <w:p w:rsidR="00E02C27" w:rsidRDefault="00E02C27">
      <w:pPr>
        <w:pStyle w:val="Textoindependiente"/>
        <w:numPr>
          <w:ilvl w:val="0"/>
          <w:numId w:val="57"/>
        </w:numPr>
        <w:spacing w:before="60" w:after="60"/>
        <w:rPr>
          <w:rFonts w:ascii="Arial" w:hAnsi="Arial" w:cs="Arial"/>
          <w:lang w:val="es-ES"/>
        </w:rPr>
      </w:pPr>
      <w:r>
        <w:rPr>
          <w:rFonts w:ascii="Arial" w:hAnsi="Arial" w:cs="Arial"/>
          <w:lang w:val="es-ES"/>
        </w:rPr>
        <w:t>Desarrollo de altas de GigADSL sobre SGO con origen en prolongación de par OBA (NEON).</w:t>
      </w:r>
    </w:p>
    <w:p w:rsidR="00E02C27" w:rsidRDefault="00E02C27">
      <w:pPr>
        <w:pStyle w:val="Textoindependiente"/>
        <w:numPr>
          <w:ilvl w:val="0"/>
          <w:numId w:val="57"/>
        </w:numPr>
        <w:spacing w:before="60" w:after="60"/>
        <w:rPr>
          <w:rFonts w:ascii="Arial" w:hAnsi="Arial" w:cs="Arial"/>
          <w:lang w:val="es-ES"/>
        </w:rPr>
      </w:pPr>
      <w:r>
        <w:rPr>
          <w:rFonts w:ascii="Arial" w:hAnsi="Arial" w:cs="Arial"/>
          <w:lang w:val="es-ES"/>
        </w:rPr>
        <w:t>Desarrollo de altas de ADSL IP sobre SGO con origen en prolongación de par OBA (NEON).</w:t>
      </w:r>
    </w:p>
    <w:p w:rsidR="00E02C27" w:rsidRDefault="00E02C27">
      <w:pPr>
        <w:pStyle w:val="Textoindependiente"/>
        <w:spacing w:before="60" w:after="60"/>
        <w:ind w:left="432"/>
        <w:rPr>
          <w:rFonts w:ascii="Arial" w:hAnsi="Arial" w:cs="Arial"/>
          <w:lang w:val="es-ES"/>
        </w:rPr>
      </w:pPr>
      <w:r>
        <w:rPr>
          <w:rFonts w:ascii="Arial" w:hAnsi="Arial" w:cs="Arial"/>
          <w:lang w:val="es-ES"/>
        </w:rPr>
        <w:t>Dado que el alcance de este documento es el servicio NEBA, únicamente se detallarán los movimientos relativos a dicho servicio (</w:t>
      </w:r>
      <w:r>
        <w:rPr>
          <w:rFonts w:ascii="Arial" w:hAnsi="Arial" w:cs="Arial"/>
          <w:i/>
          <w:lang w:val="es-ES"/>
        </w:rPr>
        <w:t>ver apartado 3.6</w:t>
      </w:r>
      <w:r>
        <w:rPr>
          <w:rFonts w:ascii="Arial" w:hAnsi="Arial" w:cs="Arial"/>
          <w:lang w:val="es-ES"/>
        </w:rPr>
        <w:t>).</w:t>
      </w:r>
    </w:p>
    <w:p w:rsidR="00E02C27" w:rsidRDefault="00E02C27">
      <w:pPr>
        <w:ind w:left="1418" w:hanging="545"/>
        <w:rPr>
          <w:rFonts w:ascii="Arial" w:eastAsia="MS Mincho" w:hAnsi="Arial" w:cs="Arial"/>
        </w:rPr>
      </w:pPr>
    </w:p>
    <w:p w:rsidR="00E02C27" w:rsidRDefault="00E02C27">
      <w:pPr>
        <w:ind w:left="1418" w:hanging="545"/>
        <w:rPr>
          <w:rFonts w:ascii="Arial" w:hAnsi="Arial" w:cs="Arial"/>
        </w:rPr>
      </w:pPr>
    </w:p>
    <w:p w:rsidR="00E02C27" w:rsidRDefault="00E02C27" w:rsidP="00911A8A">
      <w:pPr>
        <w:pStyle w:val="EstiloTtulo1"/>
        <w:keepNext/>
        <w:ind w:left="431" w:hanging="431"/>
      </w:pPr>
      <w:bookmarkStart w:id="70" w:name="_Toc444784468"/>
      <w:r>
        <w:t>FACTURACIÓN</w:t>
      </w:r>
      <w:bookmarkEnd w:id="70"/>
    </w:p>
    <w:p w:rsidR="00E02C27" w:rsidRDefault="008D52ED" w:rsidP="008D52ED">
      <w:pPr>
        <w:pStyle w:val="Textoindependiente"/>
        <w:spacing w:before="240" w:after="60"/>
        <w:ind w:left="431"/>
        <w:rPr>
          <w:rFonts w:ascii="Arial" w:hAnsi="Arial" w:cs="Arial"/>
          <w:lang w:val="es-ES"/>
        </w:rPr>
      </w:pPr>
      <w:r>
        <w:rPr>
          <w:rFonts w:ascii="Arial" w:hAnsi="Arial" w:cs="Arial"/>
          <w:lang w:val="es-ES"/>
        </w:rPr>
        <w:t>L</w:t>
      </w:r>
      <w:r w:rsidR="00E02C27">
        <w:rPr>
          <w:rFonts w:ascii="Arial" w:hAnsi="Arial" w:cs="Arial"/>
          <w:lang w:val="es-ES"/>
        </w:rPr>
        <w:t>a facturación del servicio NEBA se bas</w:t>
      </w:r>
      <w:r>
        <w:rPr>
          <w:rFonts w:ascii="Arial" w:hAnsi="Arial" w:cs="Arial"/>
          <w:lang w:val="es-ES"/>
        </w:rPr>
        <w:t>a</w:t>
      </w:r>
      <w:r w:rsidR="00E02C27">
        <w:rPr>
          <w:rFonts w:ascii="Arial" w:hAnsi="Arial" w:cs="Arial"/>
          <w:lang w:val="es-ES"/>
        </w:rPr>
        <w:t xml:space="preserve"> en un modelo de acceso y </w:t>
      </w:r>
      <w:r w:rsidR="000274C6">
        <w:rPr>
          <w:rFonts w:ascii="Arial" w:hAnsi="Arial" w:cs="Arial"/>
          <w:lang w:val="es-ES"/>
        </w:rPr>
        <w:t>capacidad</w:t>
      </w:r>
      <w:r w:rsidR="00E02C27">
        <w:rPr>
          <w:rFonts w:ascii="Arial" w:hAnsi="Arial" w:cs="Arial"/>
          <w:lang w:val="es-ES"/>
        </w:rPr>
        <w:t>.</w:t>
      </w: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La componente de </w:t>
      </w:r>
      <w:r w:rsidR="000274C6">
        <w:rPr>
          <w:rFonts w:ascii="Arial" w:hAnsi="Arial" w:cs="Arial"/>
          <w:lang w:val="es-ES"/>
        </w:rPr>
        <w:t xml:space="preserve">capacidad </w:t>
      </w:r>
      <w:r>
        <w:rPr>
          <w:rFonts w:ascii="Arial" w:hAnsi="Arial" w:cs="Arial"/>
          <w:lang w:val="es-ES"/>
        </w:rPr>
        <w:t xml:space="preserve">o entrega del servicio incluye las conexiones físicas entre el Operador y </w:t>
      </w:r>
      <w:r w:rsidR="009D686F">
        <w:rPr>
          <w:rFonts w:ascii="Arial" w:hAnsi="Arial" w:cs="Arial"/>
          <w:lang w:val="es-ES"/>
        </w:rPr>
        <w:t>Telefónica</w:t>
      </w:r>
      <w:r>
        <w:rPr>
          <w:rFonts w:ascii="Arial" w:hAnsi="Arial" w:cs="Arial"/>
          <w:lang w:val="es-ES"/>
        </w:rPr>
        <w:t xml:space="preserve"> y la medición y facturación de</w:t>
      </w:r>
      <w:r w:rsidR="000274C6">
        <w:rPr>
          <w:rFonts w:ascii="Arial" w:hAnsi="Arial" w:cs="Arial"/>
          <w:lang w:val="es-ES"/>
        </w:rPr>
        <w:t xml:space="preserve"> </w:t>
      </w:r>
      <w:r>
        <w:rPr>
          <w:rFonts w:ascii="Arial" w:hAnsi="Arial" w:cs="Arial"/>
          <w:lang w:val="es-ES"/>
        </w:rPr>
        <w:t>l</w:t>
      </w:r>
      <w:r w:rsidR="000274C6">
        <w:rPr>
          <w:rFonts w:ascii="Arial" w:hAnsi="Arial" w:cs="Arial"/>
          <w:lang w:val="es-ES"/>
        </w:rPr>
        <w:t>a</w:t>
      </w:r>
      <w:r>
        <w:rPr>
          <w:rFonts w:ascii="Arial" w:hAnsi="Arial" w:cs="Arial"/>
          <w:lang w:val="es-ES"/>
        </w:rPr>
        <w:t xml:space="preserve"> </w:t>
      </w:r>
      <w:r w:rsidR="000274C6">
        <w:rPr>
          <w:rFonts w:ascii="Arial" w:hAnsi="Arial" w:cs="Arial"/>
          <w:lang w:val="es-ES"/>
        </w:rPr>
        <w:t xml:space="preserve">capacidad utilizada </w:t>
      </w:r>
      <w:r>
        <w:rPr>
          <w:rFonts w:ascii="Arial" w:hAnsi="Arial" w:cs="Arial"/>
          <w:lang w:val="es-ES"/>
        </w:rPr>
        <w:t>en los correspondientes pPAI del Operador.</w:t>
      </w:r>
    </w:p>
    <w:p w:rsidR="00E02C27" w:rsidRDefault="00E02C27">
      <w:pPr>
        <w:pStyle w:val="Textoindependiente"/>
        <w:spacing w:before="60" w:after="60"/>
        <w:ind w:left="432"/>
        <w:rPr>
          <w:rFonts w:ascii="Arial" w:hAnsi="Arial" w:cs="Arial"/>
          <w:lang w:val="es-ES"/>
        </w:rPr>
      </w:pPr>
      <w:r>
        <w:rPr>
          <w:rFonts w:ascii="Arial" w:hAnsi="Arial" w:cs="Arial"/>
          <w:lang w:val="es-ES"/>
        </w:rPr>
        <w:t>A continuación se detallan los componentes de esquema de facturación del servicio:</w:t>
      </w:r>
    </w:p>
    <w:p w:rsidR="00E02C27" w:rsidRDefault="00E02C27">
      <w:pPr>
        <w:pStyle w:val="Textoindependiente"/>
        <w:spacing w:before="60" w:after="60"/>
        <w:ind w:left="432"/>
        <w:rPr>
          <w:rFonts w:ascii="Arial" w:hAnsi="Arial" w:cs="Arial"/>
          <w:b/>
          <w:lang w:val="es-ES"/>
        </w:rPr>
      </w:pPr>
      <w:r>
        <w:rPr>
          <w:rFonts w:ascii="Arial" w:hAnsi="Arial" w:cs="Arial"/>
          <w:b/>
          <w:lang w:val="es-ES"/>
        </w:rPr>
        <w:t>(A) COMPONENTE DE ACCESO</w:t>
      </w:r>
    </w:p>
    <w:p w:rsidR="00E02C27" w:rsidRDefault="00E02C27" w:rsidP="004F602D">
      <w:pPr>
        <w:spacing w:before="120" w:after="60"/>
        <w:ind w:left="709"/>
        <w:rPr>
          <w:rFonts w:ascii="Arial" w:hAnsi="Arial" w:cs="Arial"/>
          <w:sz w:val="24"/>
          <w:szCs w:val="24"/>
        </w:rPr>
      </w:pPr>
      <w:r>
        <w:rPr>
          <w:rFonts w:ascii="Arial" w:hAnsi="Arial" w:cs="Arial"/>
          <w:b/>
          <w:bCs/>
          <w:sz w:val="24"/>
          <w:szCs w:val="24"/>
          <w:u w:val="single"/>
        </w:rPr>
        <w:t>Componente de acceso físico</w:t>
      </w:r>
      <w:r>
        <w:rPr>
          <w:rFonts w:ascii="Arial" w:hAnsi="Arial" w:cs="Arial"/>
          <w:b/>
          <w:bCs/>
          <w:sz w:val="24"/>
          <w:szCs w:val="24"/>
        </w:rPr>
        <w:t>:</w:t>
      </w:r>
      <w:r>
        <w:rPr>
          <w:rFonts w:ascii="Arial" w:hAnsi="Arial" w:cs="Arial"/>
          <w:sz w:val="24"/>
          <w:szCs w:val="24"/>
        </w:rPr>
        <w:t xml:space="preserve"> medio físico hasta el cliente final y agregación de capacidad en el mismo para el servicio de acceso indirecto.</w:t>
      </w:r>
    </w:p>
    <w:p w:rsidR="00E02C27" w:rsidRDefault="00E02C27">
      <w:pPr>
        <w:spacing w:before="60" w:after="60"/>
        <w:ind w:left="987" w:firstLine="79"/>
        <w:rPr>
          <w:rFonts w:ascii="Arial" w:hAnsi="Arial" w:cs="Arial"/>
          <w:sz w:val="24"/>
          <w:szCs w:val="24"/>
        </w:rPr>
      </w:pPr>
      <w:r>
        <w:rPr>
          <w:rFonts w:ascii="Arial" w:hAnsi="Arial" w:cs="Arial"/>
          <w:sz w:val="24"/>
          <w:szCs w:val="24"/>
        </w:rPr>
        <w:t>Este componente facturable incluirá:</w:t>
      </w:r>
    </w:p>
    <w:p w:rsidR="00E02C27" w:rsidRDefault="00E02C27">
      <w:pPr>
        <w:numPr>
          <w:ilvl w:val="0"/>
          <w:numId w:val="60"/>
        </w:numPr>
        <w:tabs>
          <w:tab w:val="clear" w:pos="1593"/>
          <w:tab w:val="num" w:pos="1871"/>
        </w:tabs>
        <w:spacing w:before="60" w:after="60"/>
        <w:ind w:left="1871"/>
        <w:rPr>
          <w:rFonts w:ascii="Arial" w:hAnsi="Arial" w:cs="Arial"/>
          <w:sz w:val="24"/>
          <w:szCs w:val="24"/>
        </w:rPr>
      </w:pPr>
      <w:r>
        <w:rPr>
          <w:rFonts w:ascii="Arial" w:hAnsi="Arial" w:cs="Arial"/>
          <w:sz w:val="24"/>
          <w:szCs w:val="24"/>
        </w:rPr>
        <w:t xml:space="preserve">una cuota recurrente específica según sea la situación de acceso físico, a saber, coexistiendo con STB o sin STB, y </w:t>
      </w:r>
    </w:p>
    <w:p w:rsidR="00E02C27" w:rsidRDefault="00E02C27">
      <w:pPr>
        <w:numPr>
          <w:ilvl w:val="0"/>
          <w:numId w:val="60"/>
        </w:numPr>
        <w:tabs>
          <w:tab w:val="clear" w:pos="1593"/>
          <w:tab w:val="num" w:pos="1871"/>
        </w:tabs>
        <w:spacing w:before="60" w:after="60"/>
        <w:ind w:left="1871"/>
        <w:rPr>
          <w:rFonts w:ascii="Arial" w:hAnsi="Arial" w:cs="Arial"/>
          <w:sz w:val="24"/>
          <w:szCs w:val="24"/>
        </w:rPr>
      </w:pPr>
      <w:r>
        <w:rPr>
          <w:rFonts w:ascii="Arial" w:hAnsi="Arial" w:cs="Arial"/>
          <w:sz w:val="24"/>
          <w:szCs w:val="24"/>
        </w:rPr>
        <w:t>una cuota de alta, que será función de la situación de origen del acceso (por ejemplo, servicio indirecto sobre vacante). Esta componente sufragaría el uso del medio físico entre la interfaz usuario-red y el nodo de acceso.</w:t>
      </w:r>
    </w:p>
    <w:p w:rsidR="00E02C27" w:rsidRDefault="00E02C27">
      <w:pPr>
        <w:spacing w:before="60" w:after="60"/>
        <w:ind w:left="987" w:firstLine="79"/>
        <w:rPr>
          <w:rFonts w:ascii="Arial" w:hAnsi="Arial" w:cs="Arial"/>
          <w:sz w:val="24"/>
          <w:szCs w:val="24"/>
        </w:rPr>
      </w:pPr>
      <w:r>
        <w:rPr>
          <w:rFonts w:ascii="Arial" w:hAnsi="Arial" w:cs="Arial"/>
          <w:sz w:val="24"/>
          <w:szCs w:val="24"/>
        </w:rPr>
        <w:t>Se identifican los siguientes tipos de acceso:</w:t>
      </w:r>
    </w:p>
    <w:tbl>
      <w:tblPr>
        <w:tblW w:w="0" w:type="auto"/>
        <w:jc w:val="center"/>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785"/>
      </w:tblGrid>
      <w:tr w:rsidR="00E02C27">
        <w:trPr>
          <w:jc w:val="center"/>
        </w:trPr>
        <w:tc>
          <w:tcPr>
            <w:tcW w:w="1785" w:type="dxa"/>
          </w:tcPr>
          <w:p w:rsidR="00E02C27" w:rsidRDefault="00E02C27">
            <w:pPr>
              <w:tabs>
                <w:tab w:val="left" w:pos="1050"/>
              </w:tabs>
              <w:spacing w:before="120" w:after="120"/>
              <w:ind w:left="0"/>
              <w:jc w:val="center"/>
              <w:rPr>
                <w:rFonts w:ascii="Arial" w:hAnsi="Arial" w:cs="Arial"/>
                <w:i/>
                <w:sz w:val="20"/>
              </w:rPr>
            </w:pPr>
            <w:r>
              <w:rPr>
                <w:rFonts w:ascii="Arial" w:hAnsi="Arial" w:cs="Arial"/>
                <w:i/>
                <w:sz w:val="20"/>
              </w:rPr>
              <w:t>Acceso</w:t>
            </w:r>
          </w:p>
        </w:tc>
        <w:tc>
          <w:tcPr>
            <w:tcW w:w="1785" w:type="dxa"/>
          </w:tcPr>
          <w:p w:rsidR="00E02C27" w:rsidRDefault="00E02C27">
            <w:pPr>
              <w:spacing w:before="120" w:after="120"/>
              <w:ind w:left="0"/>
              <w:jc w:val="center"/>
              <w:rPr>
                <w:rFonts w:ascii="Arial" w:hAnsi="Arial" w:cs="Arial"/>
                <w:i/>
                <w:sz w:val="20"/>
              </w:rPr>
            </w:pPr>
            <w:r>
              <w:rPr>
                <w:rFonts w:ascii="Arial" w:hAnsi="Arial" w:cs="Arial"/>
                <w:i/>
                <w:sz w:val="20"/>
              </w:rPr>
              <w:t>Tecnología</w:t>
            </w:r>
          </w:p>
        </w:tc>
      </w:tr>
      <w:tr w:rsidR="00E02C27">
        <w:trPr>
          <w:jc w:val="center"/>
        </w:trPr>
        <w:tc>
          <w:tcPr>
            <w:tcW w:w="1785" w:type="dxa"/>
          </w:tcPr>
          <w:p w:rsidR="00E02C27" w:rsidRDefault="00E02C27">
            <w:pPr>
              <w:spacing w:before="120" w:after="120"/>
              <w:ind w:left="0"/>
              <w:jc w:val="center"/>
              <w:rPr>
                <w:rFonts w:ascii="Arial" w:hAnsi="Arial" w:cs="Arial"/>
                <w:sz w:val="20"/>
              </w:rPr>
            </w:pPr>
            <w:r>
              <w:rPr>
                <w:rFonts w:ascii="Arial" w:hAnsi="Arial" w:cs="Arial"/>
                <w:sz w:val="20"/>
              </w:rPr>
              <w:t>Cobre</w:t>
            </w:r>
          </w:p>
        </w:tc>
        <w:tc>
          <w:tcPr>
            <w:tcW w:w="1785" w:type="dxa"/>
          </w:tcPr>
          <w:p w:rsidR="00E02C27" w:rsidRDefault="00E02C27">
            <w:pPr>
              <w:spacing w:before="120" w:after="120"/>
              <w:ind w:left="0"/>
              <w:jc w:val="center"/>
              <w:rPr>
                <w:rFonts w:ascii="Arial" w:hAnsi="Arial" w:cs="Arial"/>
                <w:sz w:val="20"/>
              </w:rPr>
            </w:pPr>
            <w:r>
              <w:rPr>
                <w:rFonts w:ascii="Arial" w:hAnsi="Arial" w:cs="Arial"/>
                <w:sz w:val="20"/>
              </w:rPr>
              <w:t>ADSL2+</w:t>
            </w:r>
          </w:p>
        </w:tc>
      </w:tr>
      <w:tr w:rsidR="00E02C27">
        <w:trPr>
          <w:jc w:val="center"/>
        </w:trPr>
        <w:tc>
          <w:tcPr>
            <w:tcW w:w="1785" w:type="dxa"/>
          </w:tcPr>
          <w:p w:rsidR="00E02C27" w:rsidRDefault="00E02C27">
            <w:pPr>
              <w:spacing w:before="120" w:after="120"/>
              <w:ind w:left="0"/>
              <w:jc w:val="center"/>
              <w:rPr>
                <w:rFonts w:ascii="Arial" w:hAnsi="Arial" w:cs="Arial"/>
                <w:sz w:val="20"/>
              </w:rPr>
            </w:pPr>
            <w:r>
              <w:rPr>
                <w:rFonts w:ascii="Arial" w:hAnsi="Arial" w:cs="Arial"/>
                <w:sz w:val="20"/>
              </w:rPr>
              <w:t>Cobre</w:t>
            </w:r>
          </w:p>
        </w:tc>
        <w:tc>
          <w:tcPr>
            <w:tcW w:w="1785" w:type="dxa"/>
          </w:tcPr>
          <w:p w:rsidR="00E02C27" w:rsidRDefault="00E02C27">
            <w:pPr>
              <w:spacing w:before="120" w:after="120"/>
              <w:ind w:left="0"/>
              <w:jc w:val="center"/>
              <w:rPr>
                <w:rFonts w:ascii="Arial" w:hAnsi="Arial" w:cs="Arial"/>
                <w:sz w:val="20"/>
              </w:rPr>
            </w:pPr>
            <w:r>
              <w:rPr>
                <w:rFonts w:ascii="Arial" w:hAnsi="Arial" w:cs="Arial"/>
                <w:sz w:val="20"/>
              </w:rPr>
              <w:t>VDSL2</w:t>
            </w:r>
          </w:p>
        </w:tc>
      </w:tr>
      <w:tr w:rsidR="00E02C27">
        <w:trPr>
          <w:trHeight w:val="518"/>
          <w:jc w:val="center"/>
        </w:trPr>
        <w:tc>
          <w:tcPr>
            <w:tcW w:w="1785" w:type="dxa"/>
          </w:tcPr>
          <w:p w:rsidR="00E02C27" w:rsidRDefault="00E02C27">
            <w:pPr>
              <w:spacing w:before="120" w:after="120"/>
              <w:ind w:left="0"/>
              <w:jc w:val="center"/>
              <w:rPr>
                <w:rFonts w:ascii="Arial" w:hAnsi="Arial" w:cs="Arial"/>
                <w:sz w:val="20"/>
              </w:rPr>
            </w:pPr>
            <w:r>
              <w:rPr>
                <w:rFonts w:ascii="Arial" w:hAnsi="Arial" w:cs="Arial"/>
                <w:sz w:val="20"/>
              </w:rPr>
              <w:t>Fibra</w:t>
            </w:r>
          </w:p>
        </w:tc>
        <w:tc>
          <w:tcPr>
            <w:tcW w:w="1785" w:type="dxa"/>
          </w:tcPr>
          <w:p w:rsidR="00E02C27" w:rsidRDefault="00E02C27">
            <w:pPr>
              <w:spacing w:before="120" w:after="120"/>
              <w:ind w:left="0"/>
              <w:jc w:val="center"/>
              <w:rPr>
                <w:rFonts w:ascii="Arial" w:hAnsi="Arial" w:cs="Arial"/>
                <w:sz w:val="20"/>
              </w:rPr>
            </w:pPr>
            <w:r>
              <w:rPr>
                <w:rFonts w:ascii="Arial" w:hAnsi="Arial" w:cs="Arial"/>
                <w:sz w:val="20"/>
              </w:rPr>
              <w:t>FTTH/GPON</w:t>
            </w:r>
          </w:p>
        </w:tc>
      </w:tr>
    </w:tbl>
    <w:p w:rsidR="00E02C27" w:rsidRDefault="00E02C27">
      <w:pPr>
        <w:spacing w:before="60" w:after="60"/>
        <w:ind w:left="0"/>
        <w:rPr>
          <w:rFonts w:ascii="Arial" w:hAnsi="Arial" w:cs="Arial"/>
          <w:bCs/>
          <w:sz w:val="24"/>
          <w:szCs w:val="24"/>
        </w:rPr>
      </w:pPr>
    </w:p>
    <w:p w:rsidR="00E02C27" w:rsidRDefault="004F602D">
      <w:pPr>
        <w:pStyle w:val="Textoindependiente"/>
        <w:spacing w:before="60" w:after="60"/>
        <w:ind w:left="432"/>
        <w:rPr>
          <w:rFonts w:ascii="Arial" w:hAnsi="Arial" w:cs="Arial"/>
          <w:b/>
          <w:lang w:val="es-ES"/>
        </w:rPr>
      </w:pPr>
      <w:r w:rsidDel="004F602D">
        <w:rPr>
          <w:rFonts w:ascii="Arial" w:hAnsi="Arial" w:cs="Arial"/>
          <w:bCs/>
          <w:szCs w:val="24"/>
        </w:rPr>
        <w:t xml:space="preserve"> </w:t>
      </w:r>
      <w:r w:rsidR="00E02C27">
        <w:rPr>
          <w:rFonts w:ascii="Arial" w:hAnsi="Arial" w:cs="Arial"/>
          <w:b/>
          <w:lang w:val="es-ES"/>
        </w:rPr>
        <w:t xml:space="preserve">(B) COMPONENTE DE </w:t>
      </w:r>
      <w:r w:rsidR="000274C6">
        <w:rPr>
          <w:rFonts w:ascii="Arial" w:hAnsi="Arial" w:cs="Arial"/>
          <w:b/>
          <w:lang w:val="es-ES"/>
        </w:rPr>
        <w:t xml:space="preserve">CAPACIDAD </w:t>
      </w:r>
    </w:p>
    <w:p w:rsidR="00E02C27" w:rsidRDefault="00E02C27">
      <w:pPr>
        <w:pStyle w:val="Textoindependiente"/>
        <w:spacing w:before="60" w:after="60"/>
        <w:ind w:left="993"/>
        <w:rPr>
          <w:rFonts w:ascii="Arial" w:hAnsi="Arial" w:cs="Arial"/>
          <w:lang w:val="es-ES"/>
        </w:rPr>
      </w:pPr>
      <w:r>
        <w:rPr>
          <w:rFonts w:ascii="Arial" w:hAnsi="Arial" w:cs="Arial"/>
          <w:lang w:val="es-ES"/>
        </w:rPr>
        <w:t xml:space="preserve">Concepto facturable independiente de las conexiones y aplicable sobre el punto de entrega donde </w:t>
      </w:r>
      <w:r w:rsidR="009D686F">
        <w:rPr>
          <w:rFonts w:ascii="Arial" w:hAnsi="Arial" w:cs="Arial"/>
          <w:lang w:val="es-ES"/>
        </w:rPr>
        <w:t>Telefónica</w:t>
      </w:r>
      <w:r>
        <w:rPr>
          <w:rFonts w:ascii="Arial" w:hAnsi="Arial" w:cs="Arial"/>
          <w:lang w:val="es-ES"/>
        </w:rPr>
        <w:t xml:space="preserve"> entrega la señal al Operador (pPAI). El pPAI está formado por una Interfaz física (IF) de tipo Ethernet con un precio de alta y una cuota mensual (pPAI).</w:t>
      </w:r>
    </w:p>
    <w:p w:rsidR="00E02C27" w:rsidRDefault="00E02C27">
      <w:pPr>
        <w:pStyle w:val="Textoindependiente"/>
        <w:spacing w:before="60" w:after="60"/>
        <w:ind w:left="993"/>
        <w:rPr>
          <w:rFonts w:ascii="Arial" w:hAnsi="Arial" w:cs="Arial"/>
          <w:lang w:val="es-ES"/>
        </w:rPr>
      </w:pPr>
      <w:r>
        <w:rPr>
          <w:rFonts w:ascii="Arial" w:hAnsi="Arial" w:cs="Arial"/>
          <w:lang w:val="es-ES"/>
        </w:rPr>
        <w:t xml:space="preserve">El número de conexiones de cliente, y por tanto </w:t>
      </w:r>
      <w:r w:rsidR="000274C6">
        <w:rPr>
          <w:rFonts w:ascii="Arial" w:hAnsi="Arial" w:cs="Arial"/>
          <w:lang w:val="es-ES"/>
        </w:rPr>
        <w:t>la capacidad</w:t>
      </w:r>
      <w:r>
        <w:rPr>
          <w:rFonts w:ascii="Arial" w:hAnsi="Arial" w:cs="Arial"/>
          <w:lang w:val="es-ES"/>
        </w:rPr>
        <w:t xml:space="preserve"> de un operador hacia los pPAI de un Sector serán exclusivamente responsabilidad del operador.</w:t>
      </w:r>
    </w:p>
    <w:p w:rsidR="00E02C27" w:rsidRDefault="00E02C27">
      <w:pPr>
        <w:pStyle w:val="Textoindependiente"/>
        <w:spacing w:before="60" w:after="60"/>
        <w:ind w:left="993"/>
        <w:rPr>
          <w:rFonts w:ascii="Arial" w:hAnsi="Arial" w:cs="Arial"/>
          <w:lang w:val="es-ES"/>
        </w:rPr>
      </w:pPr>
      <w:r>
        <w:rPr>
          <w:rFonts w:ascii="Arial" w:hAnsi="Arial" w:cs="Arial"/>
          <w:lang w:val="es-ES"/>
        </w:rPr>
        <w:t>Se facturará con un precio recurrente mensual en función de dos factores:</w:t>
      </w:r>
    </w:p>
    <w:p w:rsidR="00E02C27" w:rsidRDefault="000274C6">
      <w:pPr>
        <w:pStyle w:val="Textoindependiente"/>
        <w:numPr>
          <w:ilvl w:val="1"/>
          <w:numId w:val="57"/>
        </w:numPr>
        <w:spacing w:before="60" w:after="60"/>
        <w:rPr>
          <w:rFonts w:ascii="Arial" w:hAnsi="Arial" w:cs="Arial"/>
          <w:lang w:val="es-ES"/>
        </w:rPr>
      </w:pPr>
      <w:r>
        <w:rPr>
          <w:rFonts w:ascii="Arial" w:hAnsi="Arial" w:cs="Arial"/>
          <w:lang w:val="es-ES"/>
        </w:rPr>
        <w:t xml:space="preserve">capacidad contratada </w:t>
      </w:r>
      <w:r w:rsidR="00E02C27">
        <w:rPr>
          <w:rFonts w:ascii="Arial" w:hAnsi="Arial" w:cs="Arial"/>
          <w:lang w:val="es-ES"/>
        </w:rPr>
        <w:t xml:space="preserve">para cada calidad de servicio (Real Time, Oro y/o Best Effort) sobre el conjunto de interfaces de servicio de la misma calidad de cada Sector Regional o PAI; </w:t>
      </w:r>
    </w:p>
    <w:p w:rsidR="00E02C27" w:rsidRDefault="000274C6">
      <w:pPr>
        <w:pStyle w:val="Textoindependiente"/>
        <w:numPr>
          <w:ilvl w:val="1"/>
          <w:numId w:val="57"/>
        </w:numPr>
        <w:spacing w:before="60" w:after="60"/>
        <w:rPr>
          <w:rFonts w:ascii="Arial" w:hAnsi="Arial" w:cs="Arial"/>
          <w:lang w:val="es-ES"/>
        </w:rPr>
      </w:pPr>
      <w:r>
        <w:rPr>
          <w:rFonts w:ascii="Arial" w:hAnsi="Arial" w:cs="Arial"/>
          <w:lang w:val="es-ES"/>
        </w:rPr>
        <w:t xml:space="preserve">capacidad medida </w:t>
      </w:r>
      <w:r w:rsidR="00E02C27">
        <w:rPr>
          <w:rFonts w:ascii="Arial" w:hAnsi="Arial" w:cs="Arial"/>
          <w:lang w:val="es-ES"/>
        </w:rPr>
        <w:t xml:space="preserve">que exceda a dicha cantidad según resulte de la medición siguiente: mensualmente se medirá </w:t>
      </w:r>
      <w:r w:rsidR="00783E6F">
        <w:rPr>
          <w:rFonts w:ascii="Arial" w:hAnsi="Arial" w:cs="Arial"/>
          <w:lang w:val="es-ES"/>
        </w:rPr>
        <w:t>la capacidad utilizada</w:t>
      </w:r>
      <w:r w:rsidR="00E02C27">
        <w:rPr>
          <w:rFonts w:ascii="Arial" w:hAnsi="Arial" w:cs="Arial"/>
          <w:lang w:val="es-ES"/>
        </w:rPr>
        <w:t xml:space="preserve"> sobre todas las interfaces de servicio de un mismo Sector (PAI) y de una misma calidad. Se elaborará un perfil de</w:t>
      </w:r>
      <w:r w:rsidR="00783E6F">
        <w:rPr>
          <w:rFonts w:ascii="Arial" w:hAnsi="Arial" w:cs="Arial"/>
          <w:lang w:val="es-ES"/>
        </w:rPr>
        <w:t xml:space="preserve"> </w:t>
      </w:r>
      <w:r w:rsidR="00E02C27">
        <w:rPr>
          <w:rFonts w:ascii="Arial" w:hAnsi="Arial" w:cs="Arial"/>
          <w:lang w:val="es-ES"/>
        </w:rPr>
        <w:t>l</w:t>
      </w:r>
      <w:r w:rsidR="00783E6F">
        <w:rPr>
          <w:rFonts w:ascii="Arial" w:hAnsi="Arial" w:cs="Arial"/>
          <w:lang w:val="es-ES"/>
        </w:rPr>
        <w:t>a</w:t>
      </w:r>
      <w:r w:rsidR="00E02C27">
        <w:rPr>
          <w:rFonts w:ascii="Arial" w:hAnsi="Arial" w:cs="Arial"/>
          <w:lang w:val="es-ES"/>
        </w:rPr>
        <w:t xml:space="preserve"> </w:t>
      </w:r>
      <w:r w:rsidR="00783E6F">
        <w:rPr>
          <w:rFonts w:ascii="Arial" w:hAnsi="Arial" w:cs="Arial"/>
          <w:lang w:val="es-ES"/>
        </w:rPr>
        <w:t xml:space="preserve">capacidad </w:t>
      </w:r>
      <w:r w:rsidR="00E02C27">
        <w:rPr>
          <w:rFonts w:ascii="Arial" w:hAnsi="Arial" w:cs="Arial"/>
          <w:lang w:val="es-ES"/>
        </w:rPr>
        <w:t>instantáne</w:t>
      </w:r>
      <w:r w:rsidR="00783E6F">
        <w:rPr>
          <w:rFonts w:ascii="Arial" w:hAnsi="Arial" w:cs="Arial"/>
          <w:lang w:val="es-ES"/>
        </w:rPr>
        <w:t>a</w:t>
      </w:r>
      <w:r w:rsidR="00E02C27">
        <w:rPr>
          <w:rFonts w:ascii="Arial" w:hAnsi="Arial" w:cs="Arial"/>
          <w:lang w:val="es-ES"/>
        </w:rPr>
        <w:t xml:space="preserve"> </w:t>
      </w:r>
      <w:r w:rsidR="00783E6F">
        <w:rPr>
          <w:rFonts w:ascii="Arial" w:hAnsi="Arial" w:cs="Arial"/>
          <w:lang w:val="es-ES"/>
        </w:rPr>
        <w:t xml:space="preserve">utilizada tomada </w:t>
      </w:r>
      <w:r w:rsidR="00E02C27">
        <w:rPr>
          <w:rFonts w:ascii="Arial" w:hAnsi="Arial" w:cs="Arial"/>
          <w:lang w:val="es-ES"/>
        </w:rPr>
        <w:t xml:space="preserve">a intervalos a determinar. De dicho perfil de </w:t>
      </w:r>
      <w:r w:rsidR="00783E6F">
        <w:rPr>
          <w:rFonts w:ascii="Arial" w:hAnsi="Arial" w:cs="Arial"/>
          <w:lang w:val="es-ES"/>
        </w:rPr>
        <w:t xml:space="preserve">capacidad </w:t>
      </w:r>
      <w:r w:rsidR="00E02C27">
        <w:rPr>
          <w:rFonts w:ascii="Arial" w:hAnsi="Arial" w:cs="Arial"/>
          <w:lang w:val="es-ES"/>
        </w:rPr>
        <w:t xml:space="preserve">se tomará el percentil 95 con lo que, en beneficio del operador, se evita tener en cuenta crestas puntuales. </w:t>
      </w:r>
    </w:p>
    <w:p w:rsidR="00E02C27" w:rsidRDefault="00E02C27">
      <w:pPr>
        <w:pStyle w:val="Textoindependiente"/>
        <w:spacing w:before="60" w:after="60"/>
        <w:ind w:left="1370"/>
        <w:rPr>
          <w:rFonts w:ascii="Arial" w:hAnsi="Arial" w:cs="Arial"/>
          <w:lang w:val="es-ES"/>
        </w:rPr>
      </w:pPr>
      <w:r>
        <w:rPr>
          <w:rFonts w:ascii="Arial" w:hAnsi="Arial" w:cs="Arial"/>
          <w:lang w:val="es-ES"/>
        </w:rPr>
        <w:t xml:space="preserve">El percentil 95 se comparará con </w:t>
      </w:r>
      <w:r w:rsidR="000274C6">
        <w:rPr>
          <w:rFonts w:ascii="Arial" w:hAnsi="Arial" w:cs="Arial"/>
          <w:lang w:val="es-ES"/>
        </w:rPr>
        <w:t>la capacidad contratada</w:t>
      </w:r>
      <w:r>
        <w:rPr>
          <w:rFonts w:ascii="Arial" w:hAnsi="Arial" w:cs="Arial"/>
          <w:lang w:val="es-ES"/>
        </w:rPr>
        <w:t>. Si es igual o inferior a</w:t>
      </w:r>
      <w:r w:rsidR="000274C6">
        <w:rPr>
          <w:rFonts w:ascii="Arial" w:hAnsi="Arial" w:cs="Arial"/>
          <w:lang w:val="es-ES"/>
        </w:rPr>
        <w:t xml:space="preserve"> </w:t>
      </w:r>
      <w:r>
        <w:rPr>
          <w:rFonts w:ascii="Arial" w:hAnsi="Arial" w:cs="Arial"/>
          <w:lang w:val="es-ES"/>
        </w:rPr>
        <w:t>l</w:t>
      </w:r>
      <w:r w:rsidR="000274C6">
        <w:rPr>
          <w:rFonts w:ascii="Arial" w:hAnsi="Arial" w:cs="Arial"/>
          <w:lang w:val="es-ES"/>
        </w:rPr>
        <w:t>a</w:t>
      </w:r>
      <w:r>
        <w:rPr>
          <w:rFonts w:ascii="Arial" w:hAnsi="Arial" w:cs="Arial"/>
          <w:lang w:val="es-ES"/>
        </w:rPr>
        <w:t xml:space="preserve"> </w:t>
      </w:r>
      <w:r w:rsidR="000274C6">
        <w:rPr>
          <w:rFonts w:ascii="Arial" w:hAnsi="Arial" w:cs="Arial"/>
          <w:lang w:val="es-ES"/>
        </w:rPr>
        <w:t xml:space="preserve">capacidad contratada </w:t>
      </w:r>
      <w:r>
        <w:rPr>
          <w:rFonts w:ascii="Arial" w:hAnsi="Arial" w:cs="Arial"/>
          <w:lang w:val="es-ES"/>
        </w:rPr>
        <w:t>(Sector-Calidad-</w:t>
      </w:r>
      <w:r w:rsidR="000274C6">
        <w:rPr>
          <w:rFonts w:ascii="Arial" w:hAnsi="Arial" w:cs="Arial"/>
          <w:lang w:val="es-ES"/>
        </w:rPr>
        <w:t xml:space="preserve">Capacidad </w:t>
      </w:r>
      <w:r>
        <w:rPr>
          <w:rFonts w:ascii="Arial" w:hAnsi="Arial" w:cs="Arial"/>
          <w:lang w:val="es-ES"/>
        </w:rPr>
        <w:t>Contratad</w:t>
      </w:r>
      <w:r w:rsidR="000274C6">
        <w:rPr>
          <w:rFonts w:ascii="Arial" w:hAnsi="Arial" w:cs="Arial"/>
          <w:lang w:val="es-ES"/>
        </w:rPr>
        <w:t>a</w:t>
      </w:r>
      <w:r>
        <w:rPr>
          <w:rFonts w:ascii="Arial" w:hAnsi="Arial" w:cs="Arial"/>
          <w:lang w:val="es-ES"/>
        </w:rPr>
        <w:t xml:space="preserve">), se facturará al  operador </w:t>
      </w:r>
      <w:r w:rsidR="000274C6">
        <w:rPr>
          <w:rFonts w:ascii="Arial" w:hAnsi="Arial" w:cs="Arial"/>
          <w:lang w:val="es-ES"/>
        </w:rPr>
        <w:t>la capacidad contratada</w:t>
      </w:r>
      <w:r>
        <w:rPr>
          <w:rFonts w:ascii="Arial" w:hAnsi="Arial" w:cs="Arial"/>
          <w:lang w:val="es-ES"/>
        </w:rPr>
        <w:t xml:space="preserve">. Si el percentil 95 es superior </w:t>
      </w:r>
      <w:r w:rsidR="000274C6">
        <w:rPr>
          <w:rFonts w:ascii="Arial" w:hAnsi="Arial" w:cs="Arial"/>
          <w:lang w:val="es-ES"/>
        </w:rPr>
        <w:t xml:space="preserve">a la capacidad contratada </w:t>
      </w:r>
      <w:r>
        <w:rPr>
          <w:rFonts w:ascii="Arial" w:hAnsi="Arial" w:cs="Arial"/>
          <w:lang w:val="es-ES"/>
        </w:rPr>
        <w:t xml:space="preserve">se facturará al operador la diferencia entre el percentil 95 y </w:t>
      </w:r>
      <w:r w:rsidR="000274C6">
        <w:rPr>
          <w:rFonts w:ascii="Arial" w:hAnsi="Arial" w:cs="Arial"/>
          <w:lang w:val="es-ES"/>
        </w:rPr>
        <w:t xml:space="preserve">la capacidad contratada </w:t>
      </w:r>
      <w:r>
        <w:rPr>
          <w:rFonts w:ascii="Arial" w:hAnsi="Arial" w:cs="Arial"/>
          <w:lang w:val="es-ES"/>
        </w:rPr>
        <w:t>a un precio distinto al precio de</w:t>
      </w:r>
      <w:r w:rsidR="000274C6">
        <w:rPr>
          <w:rFonts w:ascii="Arial" w:hAnsi="Arial" w:cs="Arial"/>
          <w:lang w:val="es-ES"/>
        </w:rPr>
        <w:t xml:space="preserve"> </w:t>
      </w:r>
      <w:r>
        <w:rPr>
          <w:rFonts w:ascii="Arial" w:hAnsi="Arial" w:cs="Arial"/>
          <w:lang w:val="es-ES"/>
        </w:rPr>
        <w:t>l</w:t>
      </w:r>
      <w:r w:rsidR="000274C6">
        <w:rPr>
          <w:rFonts w:ascii="Arial" w:hAnsi="Arial" w:cs="Arial"/>
          <w:lang w:val="es-ES"/>
        </w:rPr>
        <w:t>a</w:t>
      </w:r>
      <w:r>
        <w:rPr>
          <w:rFonts w:ascii="Arial" w:hAnsi="Arial" w:cs="Arial"/>
          <w:lang w:val="es-ES"/>
        </w:rPr>
        <w:t xml:space="preserve"> </w:t>
      </w:r>
      <w:r w:rsidR="000274C6">
        <w:rPr>
          <w:rFonts w:ascii="Arial" w:hAnsi="Arial" w:cs="Arial"/>
          <w:lang w:val="es-ES"/>
        </w:rPr>
        <w:t xml:space="preserve">capacidad contratada </w:t>
      </w:r>
      <w:r>
        <w:rPr>
          <w:rFonts w:ascii="Arial" w:hAnsi="Arial" w:cs="Arial"/>
          <w:lang w:val="es-ES"/>
        </w:rPr>
        <w:t>(</w:t>
      </w:r>
      <w:r w:rsidR="000274C6">
        <w:rPr>
          <w:rFonts w:ascii="Arial" w:hAnsi="Arial" w:cs="Arial"/>
          <w:lang w:val="es-ES"/>
        </w:rPr>
        <w:t xml:space="preserve">capacidad </w:t>
      </w:r>
      <w:r>
        <w:rPr>
          <w:rFonts w:ascii="Arial" w:hAnsi="Arial" w:cs="Arial"/>
          <w:lang w:val="es-ES"/>
        </w:rPr>
        <w:t>por exceso).</w:t>
      </w:r>
    </w:p>
    <w:p w:rsidR="00E02C27" w:rsidRPr="00675E9B" w:rsidRDefault="00675E9B" w:rsidP="00BB42DB">
      <w:pPr>
        <w:pStyle w:val="Textoindependiente"/>
        <w:spacing w:before="60" w:after="60"/>
        <w:ind w:left="1370"/>
        <w:rPr>
          <w:rFonts w:ascii="Arial" w:hAnsi="Arial" w:cs="Arial"/>
          <w:lang w:val="es-ES"/>
        </w:rPr>
      </w:pPr>
      <w:r w:rsidRPr="00675E9B">
        <w:rPr>
          <w:rFonts w:ascii="Arial" w:hAnsi="Arial" w:cs="Arial"/>
          <w:lang w:val="es-ES"/>
        </w:rPr>
        <w:t>El operador interesado podrá</w:t>
      </w:r>
      <w:r w:rsidR="00FB7E02">
        <w:rPr>
          <w:rFonts w:ascii="Arial" w:hAnsi="Arial" w:cs="Arial"/>
          <w:lang w:val="es-ES"/>
        </w:rPr>
        <w:t xml:space="preserve">, para cada </w:t>
      </w:r>
      <w:r w:rsidR="00BB42DB">
        <w:rPr>
          <w:rFonts w:ascii="Arial" w:hAnsi="Arial" w:cs="Arial"/>
          <w:lang w:val="es-ES"/>
        </w:rPr>
        <w:t>calidad</w:t>
      </w:r>
      <w:r w:rsidR="00FB7E02">
        <w:rPr>
          <w:rFonts w:ascii="Arial" w:hAnsi="Arial" w:cs="Arial"/>
          <w:lang w:val="es-ES"/>
        </w:rPr>
        <w:t xml:space="preserve"> de tráfico,</w:t>
      </w:r>
      <w:r w:rsidRPr="00675E9B">
        <w:rPr>
          <w:rFonts w:ascii="Arial" w:hAnsi="Arial" w:cs="Arial"/>
          <w:lang w:val="es-ES"/>
        </w:rPr>
        <w:t xml:space="preserve"> solicitar un descarte de</w:t>
      </w:r>
      <w:r>
        <w:rPr>
          <w:rFonts w:ascii="Arial" w:hAnsi="Arial" w:cs="Arial"/>
          <w:lang w:val="es-ES"/>
        </w:rPr>
        <w:t>l exceso</w:t>
      </w:r>
      <w:r w:rsidR="004674CE">
        <w:rPr>
          <w:rFonts w:ascii="Arial" w:hAnsi="Arial" w:cs="Arial"/>
          <w:lang w:val="es-ES"/>
        </w:rPr>
        <w:t xml:space="preserve"> </w:t>
      </w:r>
      <w:r w:rsidRPr="00675E9B">
        <w:rPr>
          <w:rFonts w:ascii="Arial" w:hAnsi="Arial" w:cs="Arial"/>
          <w:lang w:val="es-ES"/>
        </w:rPr>
        <w:t xml:space="preserve">que garantice que </w:t>
      </w:r>
      <w:r w:rsidR="00783E6F">
        <w:rPr>
          <w:rFonts w:ascii="Arial" w:hAnsi="Arial" w:cs="Arial"/>
          <w:lang w:val="es-ES"/>
        </w:rPr>
        <w:t>la capacidad</w:t>
      </w:r>
      <w:r w:rsidRPr="00675E9B">
        <w:rPr>
          <w:rFonts w:ascii="Arial" w:hAnsi="Arial" w:cs="Arial"/>
          <w:lang w:val="es-ES"/>
        </w:rPr>
        <w:t xml:space="preserve"> </w:t>
      </w:r>
      <w:r w:rsidR="00783E6F" w:rsidRPr="00675E9B">
        <w:rPr>
          <w:rFonts w:ascii="Arial" w:hAnsi="Arial" w:cs="Arial"/>
          <w:lang w:val="es-ES"/>
        </w:rPr>
        <w:t>medid</w:t>
      </w:r>
      <w:r w:rsidR="00783E6F">
        <w:rPr>
          <w:rFonts w:ascii="Arial" w:hAnsi="Arial" w:cs="Arial"/>
          <w:lang w:val="es-ES"/>
        </w:rPr>
        <w:t>a</w:t>
      </w:r>
      <w:r w:rsidR="00783E6F" w:rsidRPr="00675E9B">
        <w:rPr>
          <w:rFonts w:ascii="Arial" w:hAnsi="Arial" w:cs="Arial"/>
          <w:lang w:val="es-ES"/>
        </w:rPr>
        <w:t xml:space="preserve"> </w:t>
      </w:r>
      <w:r w:rsidRPr="00675E9B">
        <w:rPr>
          <w:rFonts w:ascii="Arial" w:hAnsi="Arial" w:cs="Arial"/>
          <w:lang w:val="es-ES"/>
        </w:rPr>
        <w:t xml:space="preserve">no supera </w:t>
      </w:r>
      <w:r w:rsidR="000274C6">
        <w:rPr>
          <w:rFonts w:ascii="Arial" w:hAnsi="Arial" w:cs="Arial"/>
          <w:lang w:val="es-ES"/>
        </w:rPr>
        <w:t xml:space="preserve">a la capacidad contratada </w:t>
      </w:r>
      <w:r w:rsidRPr="00675E9B">
        <w:rPr>
          <w:rFonts w:ascii="Arial" w:hAnsi="Arial" w:cs="Arial"/>
          <w:lang w:val="es-ES"/>
        </w:rPr>
        <w:t>(Sector-Calidad-</w:t>
      </w:r>
      <w:r w:rsidR="00783E6F">
        <w:rPr>
          <w:rFonts w:ascii="Arial" w:hAnsi="Arial" w:cs="Arial"/>
          <w:lang w:val="es-ES"/>
        </w:rPr>
        <w:t>Capacidad</w:t>
      </w:r>
      <w:r w:rsidR="00783E6F" w:rsidRPr="00675E9B">
        <w:rPr>
          <w:rFonts w:ascii="Arial" w:hAnsi="Arial" w:cs="Arial"/>
          <w:lang w:val="es-ES"/>
        </w:rPr>
        <w:t xml:space="preserve"> Contratad</w:t>
      </w:r>
      <w:r w:rsidR="00783E6F">
        <w:rPr>
          <w:rFonts w:ascii="Arial" w:hAnsi="Arial" w:cs="Arial"/>
          <w:lang w:val="es-ES"/>
        </w:rPr>
        <w:t>a</w:t>
      </w:r>
      <w:r w:rsidRPr="00675E9B">
        <w:rPr>
          <w:rFonts w:ascii="Arial" w:hAnsi="Arial" w:cs="Arial"/>
          <w:lang w:val="es-ES"/>
        </w:rPr>
        <w:t>).</w:t>
      </w:r>
    </w:p>
    <w:p w:rsidR="00675E9B" w:rsidRDefault="00675E9B">
      <w:pPr>
        <w:spacing w:before="60" w:after="60"/>
        <w:ind w:left="993" w:hanging="545"/>
        <w:rPr>
          <w:rFonts w:ascii="Arial" w:hAnsi="Arial" w:cs="Arial"/>
          <w:sz w:val="24"/>
          <w:szCs w:val="24"/>
        </w:rPr>
      </w:pPr>
    </w:p>
    <w:p w:rsidR="00E02C27" w:rsidRDefault="00E02C27">
      <w:pPr>
        <w:pStyle w:val="Textoindependiente"/>
        <w:spacing w:before="60" w:after="60"/>
        <w:ind w:left="431"/>
        <w:rPr>
          <w:rFonts w:ascii="Arial" w:hAnsi="Arial" w:cs="Arial"/>
          <w:lang w:val="es-ES"/>
        </w:rPr>
      </w:pPr>
      <w:r>
        <w:rPr>
          <w:rFonts w:ascii="Arial" w:hAnsi="Arial" w:cs="Arial"/>
          <w:lang w:val="es-ES"/>
        </w:rPr>
        <w:t xml:space="preserve">Por tanto, este esquema permitirá a los operadores optimizar sus costes en función de sus estimaciones de negocio, es decir, del </w:t>
      </w:r>
      <w:r w:rsidR="00F011C8">
        <w:rPr>
          <w:rFonts w:ascii="Arial" w:hAnsi="Arial" w:cs="Arial"/>
          <w:lang w:val="es-ES"/>
        </w:rPr>
        <w:t xml:space="preserve">consumo de ancho de banda </w:t>
      </w:r>
      <w:r>
        <w:rPr>
          <w:rFonts w:ascii="Arial" w:hAnsi="Arial" w:cs="Arial"/>
          <w:lang w:val="es-ES"/>
        </w:rPr>
        <w:t xml:space="preserve">de sus clientes. El hecho de que la contratación sea por calidad de servicio y Sector para todos los clientes de ese Sector que cursen esa calidad de servicio, permitirá a cada Operador amortiguar eventuales irregularidades o diferencias entre clientes, aplicando con una certidumbre razonable un criterio o estimación de </w:t>
      </w:r>
      <w:r w:rsidR="00F011C8">
        <w:rPr>
          <w:rFonts w:ascii="Arial" w:hAnsi="Arial" w:cs="Arial"/>
          <w:lang w:val="es-ES"/>
        </w:rPr>
        <w:t xml:space="preserve">consumo de ancho de banda </w:t>
      </w:r>
      <w:r>
        <w:rPr>
          <w:rFonts w:ascii="Arial" w:hAnsi="Arial" w:cs="Arial"/>
          <w:lang w:val="es-ES"/>
        </w:rPr>
        <w:t xml:space="preserve">de sus clientes. </w:t>
      </w:r>
    </w:p>
    <w:p w:rsidR="00E02C27" w:rsidRDefault="00E02C27">
      <w:pPr>
        <w:pStyle w:val="Textoindependiente"/>
        <w:spacing w:before="60" w:after="60"/>
        <w:ind w:left="431"/>
        <w:rPr>
          <w:rFonts w:ascii="Arial" w:hAnsi="Arial" w:cs="Arial"/>
          <w:lang w:val="es-ES"/>
        </w:rPr>
      </w:pPr>
      <w:r>
        <w:rPr>
          <w:rFonts w:ascii="Arial" w:hAnsi="Arial" w:cs="Arial"/>
          <w:lang w:val="es-ES"/>
        </w:rPr>
        <w:t>En conclusión, el esquema para la constitución de los recursos o capacidades de un operador, seguirá, de “arriba a abajo”, el proceso siguiente:</w:t>
      </w:r>
    </w:p>
    <w:p w:rsidR="00E02C27" w:rsidRDefault="00E02C27">
      <w:pPr>
        <w:numPr>
          <w:ilvl w:val="0"/>
          <w:numId w:val="17"/>
        </w:numPr>
        <w:tabs>
          <w:tab w:val="clear" w:pos="1152"/>
        </w:tabs>
        <w:spacing w:before="60" w:after="60"/>
        <w:ind w:left="1418" w:hanging="545"/>
        <w:rPr>
          <w:rFonts w:ascii="Arial" w:hAnsi="Arial" w:cs="Arial"/>
          <w:sz w:val="24"/>
          <w:szCs w:val="24"/>
        </w:rPr>
      </w:pPr>
      <w:r>
        <w:rPr>
          <w:rFonts w:ascii="Arial" w:hAnsi="Arial" w:cs="Arial"/>
          <w:sz w:val="24"/>
          <w:szCs w:val="24"/>
        </w:rPr>
        <w:t>el operador contratará la interfaz o interfaces físicas (IF), inicialmente puertos GigabitEhernet, que desee en un PAI determinado, es decir, el pPAI o los pPAIs,</w:t>
      </w:r>
    </w:p>
    <w:p w:rsidR="00E02C27" w:rsidRDefault="00E02C27">
      <w:pPr>
        <w:numPr>
          <w:ilvl w:val="0"/>
          <w:numId w:val="17"/>
        </w:numPr>
        <w:tabs>
          <w:tab w:val="clear" w:pos="1152"/>
        </w:tabs>
        <w:spacing w:before="60" w:after="60"/>
        <w:ind w:left="1418" w:hanging="545"/>
        <w:rPr>
          <w:rFonts w:ascii="Arial" w:hAnsi="Arial" w:cs="Arial"/>
          <w:sz w:val="24"/>
          <w:szCs w:val="24"/>
        </w:rPr>
      </w:pPr>
      <w:r>
        <w:rPr>
          <w:rFonts w:ascii="Arial" w:hAnsi="Arial" w:cs="Arial"/>
          <w:sz w:val="24"/>
          <w:szCs w:val="24"/>
        </w:rPr>
        <w:t>el operador contratará un</w:t>
      </w:r>
      <w:r w:rsidR="000274C6">
        <w:rPr>
          <w:rFonts w:ascii="Arial" w:hAnsi="Arial" w:cs="Arial"/>
          <w:sz w:val="24"/>
          <w:szCs w:val="24"/>
        </w:rPr>
        <w:t>a</w:t>
      </w:r>
      <w:r>
        <w:rPr>
          <w:rFonts w:ascii="Arial" w:hAnsi="Arial" w:cs="Arial"/>
          <w:sz w:val="24"/>
          <w:szCs w:val="24"/>
        </w:rPr>
        <w:t xml:space="preserve"> </w:t>
      </w:r>
      <w:r w:rsidR="000274C6">
        <w:rPr>
          <w:rFonts w:ascii="Arial" w:hAnsi="Arial" w:cs="Arial"/>
          <w:sz w:val="24"/>
          <w:szCs w:val="24"/>
        </w:rPr>
        <w:t xml:space="preserve">capacidad </w:t>
      </w:r>
      <w:r>
        <w:rPr>
          <w:rFonts w:ascii="Arial" w:hAnsi="Arial" w:cs="Arial"/>
          <w:sz w:val="24"/>
          <w:szCs w:val="24"/>
        </w:rPr>
        <w:t>en términos de Mbit/s para cada calidad de forma agregada para cada Sector (para todas las interfaces del sector). Dich</w:t>
      </w:r>
      <w:r w:rsidR="000274C6">
        <w:rPr>
          <w:rFonts w:ascii="Arial" w:hAnsi="Arial" w:cs="Arial"/>
          <w:sz w:val="24"/>
          <w:szCs w:val="24"/>
        </w:rPr>
        <w:t>a</w:t>
      </w:r>
      <w:r>
        <w:rPr>
          <w:rFonts w:ascii="Arial" w:hAnsi="Arial" w:cs="Arial"/>
          <w:sz w:val="24"/>
          <w:szCs w:val="24"/>
        </w:rPr>
        <w:t xml:space="preserve"> </w:t>
      </w:r>
      <w:r w:rsidR="000274C6">
        <w:rPr>
          <w:rFonts w:ascii="Arial" w:hAnsi="Arial" w:cs="Arial"/>
          <w:sz w:val="24"/>
          <w:szCs w:val="24"/>
        </w:rPr>
        <w:t xml:space="preserve">capacidad </w:t>
      </w:r>
      <w:r>
        <w:rPr>
          <w:rFonts w:ascii="Arial" w:hAnsi="Arial" w:cs="Arial"/>
          <w:sz w:val="24"/>
          <w:szCs w:val="24"/>
        </w:rPr>
        <w:t xml:space="preserve">tiene un precio mensual de X </w:t>
      </w:r>
      <w:r w:rsidR="003C328A">
        <w:rPr>
          <w:rFonts w:ascii="Arial" w:hAnsi="Arial" w:cs="Arial"/>
          <w:sz w:val="24"/>
          <w:szCs w:val="24"/>
        </w:rPr>
        <w:t xml:space="preserve">euros por </w:t>
      </w:r>
      <w:r>
        <w:rPr>
          <w:rFonts w:ascii="Arial" w:hAnsi="Arial" w:cs="Arial"/>
          <w:sz w:val="24"/>
          <w:szCs w:val="24"/>
        </w:rPr>
        <w:t xml:space="preserve">Mbit/s. </w:t>
      </w:r>
    </w:p>
    <w:p w:rsidR="00675E9B" w:rsidRDefault="00675E9B">
      <w:pPr>
        <w:numPr>
          <w:ilvl w:val="0"/>
          <w:numId w:val="17"/>
        </w:numPr>
        <w:tabs>
          <w:tab w:val="clear" w:pos="1152"/>
        </w:tabs>
        <w:spacing w:before="60" w:after="60"/>
        <w:ind w:left="1418" w:hanging="545"/>
        <w:rPr>
          <w:rFonts w:ascii="Arial" w:hAnsi="Arial" w:cs="Arial"/>
          <w:sz w:val="24"/>
          <w:szCs w:val="24"/>
        </w:rPr>
      </w:pPr>
      <w:r>
        <w:rPr>
          <w:rFonts w:ascii="Arial" w:hAnsi="Arial" w:cs="Arial"/>
          <w:sz w:val="24"/>
          <w:szCs w:val="24"/>
        </w:rPr>
        <w:t xml:space="preserve">si el operador se acoge al descarte de exceso </w:t>
      </w:r>
      <w:r w:rsidR="00BB42DB">
        <w:rPr>
          <w:rFonts w:ascii="Arial" w:hAnsi="Arial" w:cs="Arial"/>
          <w:sz w:val="24"/>
          <w:szCs w:val="24"/>
        </w:rPr>
        <w:t xml:space="preserve">para una </w:t>
      </w:r>
      <w:r w:rsidR="002B7070">
        <w:rPr>
          <w:rFonts w:ascii="Arial" w:hAnsi="Arial" w:cs="Arial"/>
          <w:sz w:val="24"/>
          <w:szCs w:val="24"/>
        </w:rPr>
        <w:t xml:space="preserve">cierta </w:t>
      </w:r>
      <w:r w:rsidR="00BB42DB">
        <w:rPr>
          <w:rFonts w:ascii="Arial" w:hAnsi="Arial" w:cs="Arial"/>
          <w:sz w:val="24"/>
          <w:szCs w:val="24"/>
        </w:rPr>
        <w:t>calidad</w:t>
      </w:r>
      <w:r>
        <w:rPr>
          <w:rFonts w:ascii="Arial" w:hAnsi="Arial" w:cs="Arial"/>
          <w:sz w:val="24"/>
          <w:szCs w:val="24"/>
        </w:rPr>
        <w:t>,</w:t>
      </w:r>
      <w:r w:rsidRPr="00675E9B">
        <w:rPr>
          <w:rFonts w:ascii="Arial" w:hAnsi="Arial" w:cs="Arial"/>
          <w:sz w:val="24"/>
          <w:szCs w:val="24"/>
        </w:rPr>
        <w:t xml:space="preserve"> </w:t>
      </w:r>
      <w:r>
        <w:rPr>
          <w:rFonts w:ascii="Arial" w:hAnsi="Arial" w:cs="Arial"/>
          <w:sz w:val="24"/>
          <w:szCs w:val="24"/>
        </w:rPr>
        <w:t>la facturación recurrente (mensual) de</w:t>
      </w:r>
      <w:r w:rsidR="00783E6F">
        <w:rPr>
          <w:rFonts w:ascii="Arial" w:hAnsi="Arial" w:cs="Arial"/>
          <w:sz w:val="24"/>
          <w:szCs w:val="24"/>
        </w:rPr>
        <w:t xml:space="preserve"> </w:t>
      </w:r>
      <w:r>
        <w:rPr>
          <w:rFonts w:ascii="Arial" w:hAnsi="Arial" w:cs="Arial"/>
          <w:sz w:val="24"/>
          <w:szCs w:val="24"/>
        </w:rPr>
        <w:t>l</w:t>
      </w:r>
      <w:r w:rsidR="00783E6F">
        <w:rPr>
          <w:rFonts w:ascii="Arial" w:hAnsi="Arial" w:cs="Arial"/>
          <w:sz w:val="24"/>
          <w:szCs w:val="24"/>
        </w:rPr>
        <w:t>a</w:t>
      </w:r>
      <w:r>
        <w:rPr>
          <w:rFonts w:ascii="Arial" w:hAnsi="Arial" w:cs="Arial"/>
          <w:sz w:val="24"/>
          <w:szCs w:val="24"/>
        </w:rPr>
        <w:t xml:space="preserve"> </w:t>
      </w:r>
      <w:r w:rsidR="00783E6F">
        <w:rPr>
          <w:rFonts w:ascii="Arial" w:hAnsi="Arial" w:cs="Arial"/>
          <w:sz w:val="24"/>
          <w:szCs w:val="24"/>
        </w:rPr>
        <w:t xml:space="preserve">capacidad </w:t>
      </w:r>
      <w:r>
        <w:rPr>
          <w:rFonts w:ascii="Arial" w:hAnsi="Arial" w:cs="Arial"/>
          <w:sz w:val="24"/>
          <w:szCs w:val="24"/>
        </w:rPr>
        <w:t xml:space="preserve">se basará en </w:t>
      </w:r>
      <w:r w:rsidR="00783E6F">
        <w:rPr>
          <w:rFonts w:ascii="Arial" w:hAnsi="Arial" w:cs="Arial"/>
          <w:sz w:val="24"/>
          <w:szCs w:val="24"/>
        </w:rPr>
        <w:t>la</w:t>
      </w:r>
      <w:r>
        <w:rPr>
          <w:rFonts w:ascii="Arial" w:hAnsi="Arial" w:cs="Arial"/>
          <w:sz w:val="24"/>
          <w:szCs w:val="24"/>
        </w:rPr>
        <w:t xml:space="preserve"> </w:t>
      </w:r>
      <w:r w:rsidR="00783E6F">
        <w:rPr>
          <w:rFonts w:ascii="Arial" w:hAnsi="Arial" w:cs="Arial"/>
          <w:sz w:val="24"/>
          <w:szCs w:val="24"/>
        </w:rPr>
        <w:t>capacidad contratada</w:t>
      </w:r>
      <w:r>
        <w:rPr>
          <w:rFonts w:ascii="Arial" w:hAnsi="Arial" w:cs="Arial"/>
          <w:sz w:val="24"/>
          <w:szCs w:val="24"/>
        </w:rPr>
        <w:t>.</w:t>
      </w:r>
    </w:p>
    <w:p w:rsidR="00E02C27" w:rsidRDefault="00675E9B">
      <w:pPr>
        <w:numPr>
          <w:ilvl w:val="0"/>
          <w:numId w:val="17"/>
        </w:numPr>
        <w:tabs>
          <w:tab w:val="clear" w:pos="1152"/>
        </w:tabs>
        <w:spacing w:before="60" w:after="60"/>
        <w:ind w:left="1418" w:hanging="545"/>
        <w:rPr>
          <w:rFonts w:ascii="Arial" w:hAnsi="Arial" w:cs="Arial"/>
          <w:sz w:val="24"/>
          <w:szCs w:val="24"/>
        </w:rPr>
      </w:pPr>
      <w:r>
        <w:rPr>
          <w:rFonts w:ascii="Arial" w:hAnsi="Arial" w:cs="Arial"/>
          <w:sz w:val="24"/>
          <w:szCs w:val="24"/>
        </w:rPr>
        <w:t>si el operador no se acoge al descarte de exceso,</w:t>
      </w:r>
      <w:r w:rsidRPr="00675E9B">
        <w:rPr>
          <w:rFonts w:ascii="Arial" w:hAnsi="Arial" w:cs="Arial"/>
          <w:sz w:val="24"/>
          <w:szCs w:val="24"/>
        </w:rPr>
        <w:t xml:space="preserve"> </w:t>
      </w:r>
      <w:r w:rsidR="00E02C27">
        <w:rPr>
          <w:rFonts w:ascii="Arial" w:hAnsi="Arial" w:cs="Arial"/>
          <w:sz w:val="24"/>
          <w:szCs w:val="24"/>
        </w:rPr>
        <w:t>la facturación recurrente (mensual) de</w:t>
      </w:r>
      <w:r w:rsidR="00783E6F">
        <w:rPr>
          <w:rFonts w:ascii="Arial" w:hAnsi="Arial" w:cs="Arial"/>
          <w:sz w:val="24"/>
          <w:szCs w:val="24"/>
        </w:rPr>
        <w:t xml:space="preserve"> </w:t>
      </w:r>
      <w:r w:rsidR="00E02C27">
        <w:rPr>
          <w:rFonts w:ascii="Arial" w:hAnsi="Arial" w:cs="Arial"/>
          <w:sz w:val="24"/>
          <w:szCs w:val="24"/>
        </w:rPr>
        <w:t>l</w:t>
      </w:r>
      <w:r w:rsidR="00783E6F">
        <w:rPr>
          <w:rFonts w:ascii="Arial" w:hAnsi="Arial" w:cs="Arial"/>
          <w:sz w:val="24"/>
          <w:szCs w:val="24"/>
        </w:rPr>
        <w:t>a</w:t>
      </w:r>
      <w:r w:rsidR="00E02C27">
        <w:rPr>
          <w:rFonts w:ascii="Arial" w:hAnsi="Arial" w:cs="Arial"/>
          <w:sz w:val="24"/>
          <w:szCs w:val="24"/>
        </w:rPr>
        <w:t xml:space="preserve"> </w:t>
      </w:r>
      <w:r w:rsidR="00783E6F">
        <w:rPr>
          <w:rFonts w:ascii="Arial" w:hAnsi="Arial" w:cs="Arial"/>
          <w:sz w:val="24"/>
          <w:szCs w:val="24"/>
        </w:rPr>
        <w:t xml:space="preserve">capacidad </w:t>
      </w:r>
      <w:r w:rsidR="00E02C27">
        <w:rPr>
          <w:rFonts w:ascii="Arial" w:hAnsi="Arial" w:cs="Arial"/>
          <w:sz w:val="24"/>
          <w:szCs w:val="24"/>
        </w:rPr>
        <w:t>se basará en la medida y registro de</w:t>
      </w:r>
      <w:r w:rsidR="00F011C8">
        <w:rPr>
          <w:rFonts w:ascii="Arial" w:hAnsi="Arial" w:cs="Arial"/>
          <w:sz w:val="24"/>
          <w:szCs w:val="24"/>
        </w:rPr>
        <w:t xml:space="preserve"> </w:t>
      </w:r>
      <w:r w:rsidR="00E02C27">
        <w:rPr>
          <w:rFonts w:ascii="Arial" w:hAnsi="Arial" w:cs="Arial"/>
          <w:sz w:val="24"/>
          <w:szCs w:val="24"/>
        </w:rPr>
        <w:t>l</w:t>
      </w:r>
      <w:r w:rsidR="00F011C8">
        <w:rPr>
          <w:rFonts w:ascii="Arial" w:hAnsi="Arial" w:cs="Arial"/>
          <w:sz w:val="24"/>
          <w:szCs w:val="24"/>
        </w:rPr>
        <w:t>a</w:t>
      </w:r>
      <w:r w:rsidR="00E02C27">
        <w:rPr>
          <w:rFonts w:ascii="Arial" w:hAnsi="Arial" w:cs="Arial"/>
          <w:sz w:val="24"/>
          <w:szCs w:val="24"/>
        </w:rPr>
        <w:t xml:space="preserve"> </w:t>
      </w:r>
      <w:r w:rsidR="00F011C8">
        <w:rPr>
          <w:rFonts w:ascii="Arial" w:hAnsi="Arial" w:cs="Arial"/>
          <w:sz w:val="24"/>
          <w:szCs w:val="24"/>
        </w:rPr>
        <w:t xml:space="preserve">capacidad utilizada por </w:t>
      </w:r>
      <w:r w:rsidR="00E02C27">
        <w:rPr>
          <w:rFonts w:ascii="Arial" w:hAnsi="Arial" w:cs="Arial"/>
          <w:sz w:val="24"/>
          <w:szCs w:val="24"/>
        </w:rPr>
        <w:t xml:space="preserve">todos los caudales agregados del Sector de la misma Calidad, la extracción del percentil 95 de dicho perfil y la comparación con </w:t>
      </w:r>
      <w:r w:rsidR="00783E6F">
        <w:rPr>
          <w:rFonts w:ascii="Arial" w:hAnsi="Arial" w:cs="Arial"/>
          <w:sz w:val="24"/>
          <w:szCs w:val="24"/>
        </w:rPr>
        <w:t>la capacidad</w:t>
      </w:r>
      <w:r w:rsidR="00E02C27">
        <w:rPr>
          <w:rFonts w:ascii="Arial" w:hAnsi="Arial" w:cs="Arial"/>
          <w:sz w:val="24"/>
          <w:szCs w:val="24"/>
        </w:rPr>
        <w:t xml:space="preserve"> comprometid</w:t>
      </w:r>
      <w:r w:rsidR="00783E6F">
        <w:rPr>
          <w:rFonts w:ascii="Arial" w:hAnsi="Arial" w:cs="Arial"/>
          <w:sz w:val="24"/>
          <w:szCs w:val="24"/>
        </w:rPr>
        <w:t>a</w:t>
      </w:r>
      <w:r w:rsidR="00E02C27">
        <w:rPr>
          <w:rFonts w:ascii="Arial" w:hAnsi="Arial" w:cs="Arial"/>
          <w:sz w:val="24"/>
          <w:szCs w:val="24"/>
        </w:rPr>
        <w:t xml:space="preserve">. Si </w:t>
      </w:r>
      <w:r w:rsidR="00783E6F">
        <w:rPr>
          <w:rFonts w:ascii="Arial" w:hAnsi="Arial" w:cs="Arial"/>
          <w:sz w:val="24"/>
          <w:szCs w:val="24"/>
        </w:rPr>
        <w:t xml:space="preserve">la capacidad </w:t>
      </w:r>
      <w:r w:rsidR="00E02C27">
        <w:rPr>
          <w:rFonts w:ascii="Arial" w:hAnsi="Arial" w:cs="Arial"/>
          <w:sz w:val="24"/>
          <w:szCs w:val="24"/>
        </w:rPr>
        <w:t>registrad</w:t>
      </w:r>
      <w:r w:rsidR="00783E6F">
        <w:rPr>
          <w:rFonts w:ascii="Arial" w:hAnsi="Arial" w:cs="Arial"/>
          <w:sz w:val="24"/>
          <w:szCs w:val="24"/>
        </w:rPr>
        <w:t>a</w:t>
      </w:r>
      <w:r w:rsidR="00E02C27">
        <w:rPr>
          <w:rFonts w:ascii="Arial" w:hAnsi="Arial" w:cs="Arial"/>
          <w:sz w:val="24"/>
          <w:szCs w:val="24"/>
        </w:rPr>
        <w:t xml:space="preserve"> es igual o menor a</w:t>
      </w:r>
      <w:r w:rsidR="00783E6F">
        <w:rPr>
          <w:rFonts w:ascii="Arial" w:hAnsi="Arial" w:cs="Arial"/>
          <w:sz w:val="24"/>
          <w:szCs w:val="24"/>
        </w:rPr>
        <w:t xml:space="preserve"> la capacidad comprometida</w:t>
      </w:r>
      <w:r w:rsidR="00E02C27">
        <w:rPr>
          <w:rFonts w:ascii="Arial" w:hAnsi="Arial" w:cs="Arial"/>
          <w:sz w:val="24"/>
          <w:szCs w:val="24"/>
        </w:rPr>
        <w:t xml:space="preserve">, al operador se le factura por </w:t>
      </w:r>
      <w:r w:rsidR="00783E6F">
        <w:rPr>
          <w:rFonts w:ascii="Arial" w:hAnsi="Arial" w:cs="Arial"/>
          <w:sz w:val="24"/>
          <w:szCs w:val="24"/>
        </w:rPr>
        <w:t>la capacidad comprometida</w:t>
      </w:r>
      <w:r w:rsidR="00E02C27">
        <w:rPr>
          <w:rFonts w:ascii="Arial" w:hAnsi="Arial" w:cs="Arial"/>
          <w:sz w:val="24"/>
          <w:szCs w:val="24"/>
        </w:rPr>
        <w:t>. Si l</w:t>
      </w:r>
      <w:r w:rsidR="00783E6F">
        <w:rPr>
          <w:rFonts w:ascii="Arial" w:hAnsi="Arial" w:cs="Arial"/>
          <w:sz w:val="24"/>
          <w:szCs w:val="24"/>
        </w:rPr>
        <w:t>a</w:t>
      </w:r>
      <w:r w:rsidR="00E02C27">
        <w:rPr>
          <w:rFonts w:ascii="Arial" w:hAnsi="Arial" w:cs="Arial"/>
          <w:sz w:val="24"/>
          <w:szCs w:val="24"/>
        </w:rPr>
        <w:t xml:space="preserve"> </w:t>
      </w:r>
      <w:r w:rsidR="00783E6F">
        <w:rPr>
          <w:rFonts w:ascii="Arial" w:hAnsi="Arial" w:cs="Arial"/>
          <w:sz w:val="24"/>
          <w:szCs w:val="24"/>
        </w:rPr>
        <w:t xml:space="preserve">capacidad registrada </w:t>
      </w:r>
      <w:r w:rsidR="00E02C27">
        <w:rPr>
          <w:rFonts w:ascii="Arial" w:hAnsi="Arial" w:cs="Arial"/>
          <w:sz w:val="24"/>
          <w:szCs w:val="24"/>
        </w:rPr>
        <w:t xml:space="preserve">es mayor que </w:t>
      </w:r>
      <w:r w:rsidR="00783E6F">
        <w:rPr>
          <w:rFonts w:ascii="Arial" w:hAnsi="Arial" w:cs="Arial"/>
          <w:sz w:val="24"/>
          <w:szCs w:val="24"/>
        </w:rPr>
        <w:t>la capacidad comprometida</w:t>
      </w:r>
      <w:r w:rsidR="00E02C27">
        <w:rPr>
          <w:rFonts w:ascii="Arial" w:hAnsi="Arial" w:cs="Arial"/>
          <w:sz w:val="24"/>
          <w:szCs w:val="24"/>
        </w:rPr>
        <w:t xml:space="preserve">, al operador se le factura </w:t>
      </w:r>
      <w:r w:rsidR="00783E6F">
        <w:rPr>
          <w:rFonts w:ascii="Arial" w:hAnsi="Arial" w:cs="Arial"/>
          <w:sz w:val="24"/>
          <w:szCs w:val="24"/>
        </w:rPr>
        <w:t xml:space="preserve">la capacidad comprometida </w:t>
      </w:r>
      <w:r w:rsidR="00E02C27">
        <w:rPr>
          <w:rFonts w:ascii="Arial" w:hAnsi="Arial" w:cs="Arial"/>
          <w:sz w:val="24"/>
          <w:szCs w:val="24"/>
        </w:rPr>
        <w:t xml:space="preserve">más una cantidad adicional en términos de Mbit/s consecuencia de multiplicar los Mbit/s diferenciales entre </w:t>
      </w:r>
      <w:r w:rsidR="00783E6F">
        <w:rPr>
          <w:rFonts w:ascii="Arial" w:hAnsi="Arial" w:cs="Arial"/>
          <w:sz w:val="24"/>
          <w:szCs w:val="24"/>
        </w:rPr>
        <w:t xml:space="preserve">capacidad registrada </w:t>
      </w:r>
      <w:r w:rsidR="00E02C27">
        <w:rPr>
          <w:rFonts w:ascii="Arial" w:hAnsi="Arial" w:cs="Arial"/>
          <w:sz w:val="24"/>
          <w:szCs w:val="24"/>
        </w:rPr>
        <w:t xml:space="preserve">y </w:t>
      </w:r>
      <w:r w:rsidR="00783E6F">
        <w:rPr>
          <w:rFonts w:ascii="Arial" w:hAnsi="Arial" w:cs="Arial"/>
          <w:sz w:val="24"/>
          <w:szCs w:val="24"/>
        </w:rPr>
        <w:t>la capacidad comprometida</w:t>
      </w:r>
      <w:r w:rsidR="00E02C27">
        <w:rPr>
          <w:rFonts w:ascii="Arial" w:hAnsi="Arial" w:cs="Arial"/>
          <w:sz w:val="24"/>
          <w:szCs w:val="24"/>
        </w:rPr>
        <w:t xml:space="preserve"> por una cantidad Z €/Mbit/s (siendo Z &gt; X).</w:t>
      </w:r>
    </w:p>
    <w:p w:rsidR="00E02C27" w:rsidRDefault="00E02C27">
      <w:pPr>
        <w:numPr>
          <w:ilvl w:val="0"/>
          <w:numId w:val="17"/>
        </w:numPr>
        <w:tabs>
          <w:tab w:val="clear" w:pos="1152"/>
        </w:tabs>
        <w:spacing w:before="60" w:after="60"/>
        <w:ind w:left="1418" w:hanging="545"/>
        <w:rPr>
          <w:rFonts w:ascii="Arial" w:hAnsi="Arial" w:cs="Arial"/>
          <w:b/>
          <w:bCs/>
          <w:sz w:val="24"/>
          <w:szCs w:val="24"/>
          <w:u w:val="single"/>
        </w:rPr>
      </w:pPr>
      <w:r>
        <w:rPr>
          <w:rFonts w:ascii="Arial" w:hAnsi="Arial" w:cs="Arial"/>
          <w:sz w:val="24"/>
          <w:szCs w:val="24"/>
        </w:rPr>
        <w:t xml:space="preserve">se facturará al operador para cada acceso la componente de </w:t>
      </w:r>
      <w:r w:rsidR="004F602D">
        <w:rPr>
          <w:rFonts w:ascii="Arial" w:hAnsi="Arial" w:cs="Arial"/>
          <w:sz w:val="24"/>
          <w:szCs w:val="24"/>
        </w:rPr>
        <w:t xml:space="preserve">acceso </w:t>
      </w:r>
      <w:r>
        <w:rPr>
          <w:rFonts w:ascii="Arial" w:hAnsi="Arial" w:cs="Arial"/>
          <w:sz w:val="24"/>
          <w:szCs w:val="24"/>
        </w:rPr>
        <w:t>correspondiente, es decir, según la tecnología (ADSL2+, VDSL2/GPON).</w:t>
      </w:r>
    </w:p>
    <w:p w:rsidR="00E02C27" w:rsidRDefault="00E02C27">
      <w:pPr>
        <w:pStyle w:val="Textoindependiente"/>
        <w:spacing w:before="60" w:after="60"/>
        <w:ind w:left="431"/>
        <w:rPr>
          <w:rFonts w:ascii="Arial" w:hAnsi="Arial" w:cs="Arial"/>
          <w:lang w:val="es-ES"/>
        </w:rPr>
      </w:pPr>
      <w:r>
        <w:rPr>
          <w:rFonts w:ascii="Arial" w:hAnsi="Arial" w:cs="Arial"/>
          <w:lang w:val="es-ES"/>
        </w:rPr>
        <w:t>En el cuadro siguiente se resumen los conceptos facturables del servicio.</w:t>
      </w:r>
    </w:p>
    <w:p w:rsidR="00E02C27" w:rsidRDefault="00E02C27">
      <w:pPr>
        <w:ind w:left="1418" w:hanging="545"/>
        <w:rPr>
          <w:rFonts w:ascii="Arial" w:hAnsi="Arial" w:cs="Arial"/>
          <w:b/>
          <w:bCs/>
          <w:u w:val="single"/>
        </w:rPr>
      </w:pPr>
    </w:p>
    <w:tbl>
      <w:tblPr>
        <w:tblW w:w="0" w:type="auto"/>
        <w:jc w:val="center"/>
        <w:tblInd w:w="1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98"/>
        <w:gridCol w:w="2342"/>
        <w:gridCol w:w="1372"/>
        <w:gridCol w:w="1375"/>
        <w:gridCol w:w="1405"/>
      </w:tblGrid>
      <w:tr w:rsidR="00675E9B">
        <w:trPr>
          <w:jc w:val="center"/>
        </w:trPr>
        <w:tc>
          <w:tcPr>
            <w:tcW w:w="0" w:type="auto"/>
            <w:tcBorders>
              <w:top w:val="nil"/>
              <w:left w:val="nil"/>
            </w:tcBorders>
          </w:tcPr>
          <w:p w:rsidR="00E02C27" w:rsidRDefault="00E02C27">
            <w:pPr>
              <w:ind w:left="1418" w:hanging="545"/>
              <w:rPr>
                <w:rFonts w:ascii="Arial" w:hAnsi="Arial" w:cs="Arial"/>
                <w:b/>
                <w:bCs/>
                <w:u w:val="single"/>
              </w:rPr>
            </w:pPr>
          </w:p>
        </w:tc>
        <w:tc>
          <w:tcPr>
            <w:tcW w:w="0" w:type="auto"/>
            <w:shd w:val="clear" w:color="auto" w:fill="E6E6E6"/>
            <w:vAlign w:val="center"/>
          </w:tcPr>
          <w:p w:rsidR="00E02C27" w:rsidRDefault="00E02C27">
            <w:pPr>
              <w:ind w:left="0"/>
              <w:jc w:val="center"/>
              <w:rPr>
                <w:rFonts w:ascii="Arial" w:hAnsi="Arial" w:cs="Arial"/>
                <w:b/>
                <w:bCs/>
                <w:i/>
                <w:iCs/>
              </w:rPr>
            </w:pPr>
            <w:r>
              <w:rPr>
                <w:rFonts w:ascii="Arial" w:hAnsi="Arial" w:cs="Arial"/>
                <w:b/>
                <w:bCs/>
                <w:i/>
                <w:iCs/>
              </w:rPr>
              <w:t>Concepto Facturable</w:t>
            </w:r>
          </w:p>
        </w:tc>
        <w:tc>
          <w:tcPr>
            <w:tcW w:w="0" w:type="auto"/>
            <w:shd w:val="clear" w:color="auto" w:fill="E6E6E6"/>
            <w:vAlign w:val="center"/>
          </w:tcPr>
          <w:p w:rsidR="00E02C27" w:rsidRDefault="00E02C27">
            <w:pPr>
              <w:ind w:left="0"/>
              <w:jc w:val="center"/>
              <w:rPr>
                <w:rFonts w:ascii="Arial" w:hAnsi="Arial" w:cs="Arial"/>
                <w:b/>
                <w:bCs/>
                <w:i/>
                <w:iCs/>
              </w:rPr>
            </w:pPr>
            <w:r>
              <w:rPr>
                <w:rFonts w:ascii="Arial" w:hAnsi="Arial" w:cs="Arial"/>
                <w:b/>
                <w:bCs/>
                <w:i/>
                <w:iCs/>
              </w:rPr>
              <w:t>Cuota</w:t>
            </w:r>
          </w:p>
          <w:p w:rsidR="00E02C27" w:rsidRDefault="00E02C27">
            <w:pPr>
              <w:ind w:left="0"/>
              <w:jc w:val="center"/>
              <w:rPr>
                <w:rFonts w:ascii="Arial" w:hAnsi="Arial" w:cs="Arial"/>
                <w:b/>
                <w:bCs/>
                <w:i/>
                <w:iCs/>
              </w:rPr>
            </w:pPr>
            <w:r>
              <w:rPr>
                <w:rFonts w:ascii="Arial" w:hAnsi="Arial" w:cs="Arial"/>
                <w:b/>
                <w:bCs/>
                <w:i/>
                <w:iCs/>
              </w:rPr>
              <w:t>Alta</w:t>
            </w:r>
            <w:r>
              <w:rPr>
                <w:rFonts w:ascii="Arial" w:hAnsi="Arial" w:cs="Arial"/>
                <w:b/>
                <w:bCs/>
                <w:i/>
                <w:iCs/>
              </w:rPr>
              <w:br/>
              <w:t>(no recurrente)</w:t>
            </w:r>
          </w:p>
        </w:tc>
        <w:tc>
          <w:tcPr>
            <w:tcW w:w="0" w:type="auto"/>
            <w:shd w:val="clear" w:color="auto" w:fill="E6E6E6"/>
            <w:vAlign w:val="center"/>
          </w:tcPr>
          <w:p w:rsidR="00E02C27" w:rsidRDefault="00E02C27">
            <w:pPr>
              <w:ind w:left="0"/>
              <w:jc w:val="center"/>
              <w:rPr>
                <w:rFonts w:ascii="Arial" w:hAnsi="Arial" w:cs="Arial"/>
                <w:b/>
                <w:bCs/>
                <w:i/>
                <w:iCs/>
              </w:rPr>
            </w:pPr>
            <w:r>
              <w:rPr>
                <w:rFonts w:ascii="Arial" w:hAnsi="Arial" w:cs="Arial"/>
                <w:b/>
                <w:bCs/>
                <w:i/>
                <w:iCs/>
              </w:rPr>
              <w:t xml:space="preserve">Cuota </w:t>
            </w:r>
            <w:r>
              <w:rPr>
                <w:rFonts w:ascii="Arial" w:hAnsi="Arial" w:cs="Arial"/>
                <w:b/>
                <w:bCs/>
                <w:i/>
                <w:iCs/>
              </w:rPr>
              <w:br/>
              <w:t>Mensual</w:t>
            </w:r>
            <w:r>
              <w:rPr>
                <w:rFonts w:ascii="Arial" w:hAnsi="Arial" w:cs="Arial"/>
                <w:b/>
                <w:bCs/>
                <w:i/>
                <w:iCs/>
              </w:rPr>
              <w:br/>
              <w:t>(recurrente)</w:t>
            </w:r>
          </w:p>
        </w:tc>
        <w:tc>
          <w:tcPr>
            <w:tcW w:w="0" w:type="auto"/>
            <w:shd w:val="clear" w:color="auto" w:fill="E6E6E6"/>
            <w:vAlign w:val="center"/>
          </w:tcPr>
          <w:p w:rsidR="00E02C27" w:rsidRDefault="00E02C27">
            <w:pPr>
              <w:ind w:left="0"/>
              <w:jc w:val="center"/>
              <w:rPr>
                <w:rFonts w:ascii="Arial" w:hAnsi="Arial" w:cs="Arial"/>
                <w:b/>
                <w:bCs/>
                <w:i/>
                <w:iCs/>
              </w:rPr>
            </w:pPr>
            <w:r>
              <w:rPr>
                <w:rFonts w:ascii="Arial" w:hAnsi="Arial" w:cs="Arial"/>
                <w:b/>
                <w:bCs/>
                <w:i/>
                <w:iCs/>
              </w:rPr>
              <w:t>Cuota no recurrente</w:t>
            </w:r>
          </w:p>
        </w:tc>
      </w:tr>
      <w:tr w:rsidR="00675E9B">
        <w:trPr>
          <w:cantSplit/>
          <w:jc w:val="center"/>
        </w:trPr>
        <w:tc>
          <w:tcPr>
            <w:tcW w:w="0" w:type="auto"/>
            <w:vMerge w:val="restart"/>
          </w:tcPr>
          <w:p w:rsidR="00E02C27" w:rsidRDefault="00E02C27">
            <w:pPr>
              <w:spacing w:before="60" w:after="60"/>
              <w:ind w:left="0"/>
              <w:jc w:val="left"/>
              <w:rPr>
                <w:rFonts w:ascii="Arial" w:hAnsi="Arial" w:cs="Arial"/>
                <w:sz w:val="20"/>
              </w:rPr>
            </w:pPr>
            <w:r>
              <w:rPr>
                <w:rFonts w:ascii="Arial" w:hAnsi="Arial" w:cs="Arial"/>
                <w:sz w:val="20"/>
              </w:rPr>
              <w:t>Conceptos relativos a la conexión del usuario (componentes de acceso)</w:t>
            </w:r>
          </w:p>
        </w:tc>
        <w:tc>
          <w:tcPr>
            <w:tcW w:w="0" w:type="auto"/>
            <w:vAlign w:val="center"/>
          </w:tcPr>
          <w:p w:rsidR="00E02C27" w:rsidRDefault="00E02C27">
            <w:pPr>
              <w:spacing w:before="60" w:after="60"/>
              <w:ind w:left="0"/>
              <w:jc w:val="left"/>
              <w:rPr>
                <w:rFonts w:ascii="Arial" w:hAnsi="Arial" w:cs="Arial"/>
                <w:sz w:val="20"/>
              </w:rPr>
            </w:pPr>
            <w:r>
              <w:rPr>
                <w:rFonts w:ascii="Arial" w:hAnsi="Arial" w:cs="Arial"/>
                <w:sz w:val="20"/>
              </w:rPr>
              <w:t xml:space="preserve">Acceso físico </w:t>
            </w:r>
          </w:p>
        </w:tc>
        <w:tc>
          <w:tcPr>
            <w:tcW w:w="0" w:type="auto"/>
            <w:vAlign w:val="center"/>
          </w:tcPr>
          <w:p w:rsidR="00E02C27" w:rsidRDefault="00E02C27">
            <w:pPr>
              <w:spacing w:before="60" w:after="60"/>
              <w:ind w:left="0"/>
              <w:jc w:val="center"/>
              <w:rPr>
                <w:rFonts w:ascii="Arial" w:hAnsi="Arial" w:cs="Arial"/>
                <w:b/>
                <w:sz w:val="20"/>
              </w:rPr>
            </w:pPr>
            <w:r>
              <w:rPr>
                <w:rFonts w:ascii="Arial" w:hAnsi="Arial" w:cs="Arial"/>
                <w:b/>
                <w:sz w:val="20"/>
              </w:rPr>
              <w:t xml:space="preserve">X </w:t>
            </w:r>
          </w:p>
        </w:tc>
        <w:tc>
          <w:tcPr>
            <w:tcW w:w="0" w:type="auto"/>
            <w:vAlign w:val="center"/>
          </w:tcPr>
          <w:p w:rsidR="00E02C27" w:rsidRDefault="00E02C27">
            <w:pPr>
              <w:spacing w:before="60" w:after="60"/>
              <w:ind w:left="0"/>
              <w:jc w:val="center"/>
              <w:rPr>
                <w:rFonts w:ascii="Arial" w:hAnsi="Arial" w:cs="Arial"/>
                <w:b/>
                <w:sz w:val="20"/>
              </w:rPr>
            </w:pPr>
            <w:r>
              <w:rPr>
                <w:rFonts w:ascii="Arial" w:hAnsi="Arial" w:cs="Arial"/>
                <w:b/>
                <w:sz w:val="20"/>
              </w:rPr>
              <w:t xml:space="preserve">X </w:t>
            </w:r>
          </w:p>
        </w:tc>
        <w:tc>
          <w:tcPr>
            <w:tcW w:w="0" w:type="auto"/>
            <w:vAlign w:val="center"/>
          </w:tcPr>
          <w:p w:rsidR="00E02C27" w:rsidRDefault="00E02C27">
            <w:pPr>
              <w:spacing w:before="60" w:after="60"/>
              <w:ind w:left="1418" w:hanging="545"/>
              <w:jc w:val="center"/>
              <w:rPr>
                <w:rFonts w:ascii="Arial" w:hAnsi="Arial" w:cs="Arial"/>
                <w:b/>
                <w:sz w:val="20"/>
              </w:rPr>
            </w:pPr>
          </w:p>
        </w:tc>
      </w:tr>
      <w:tr w:rsidR="00675E9B">
        <w:trPr>
          <w:cantSplit/>
          <w:jc w:val="center"/>
        </w:trPr>
        <w:tc>
          <w:tcPr>
            <w:tcW w:w="0" w:type="auto"/>
            <w:vMerge/>
            <w:vAlign w:val="center"/>
          </w:tcPr>
          <w:p w:rsidR="00E02C27" w:rsidRDefault="00E02C27">
            <w:pPr>
              <w:spacing w:before="60" w:after="60"/>
              <w:ind w:left="1418" w:hanging="545"/>
              <w:jc w:val="left"/>
              <w:rPr>
                <w:rFonts w:ascii="Arial" w:hAnsi="Arial" w:cs="Arial"/>
                <w:sz w:val="20"/>
              </w:rPr>
            </w:pPr>
          </w:p>
        </w:tc>
        <w:tc>
          <w:tcPr>
            <w:tcW w:w="0" w:type="auto"/>
          </w:tcPr>
          <w:p w:rsidR="00E02C27" w:rsidRDefault="00E02C27">
            <w:pPr>
              <w:spacing w:before="60" w:after="60"/>
              <w:ind w:left="0"/>
              <w:jc w:val="left"/>
              <w:rPr>
                <w:rFonts w:ascii="Arial" w:hAnsi="Arial" w:cs="Arial"/>
                <w:sz w:val="20"/>
              </w:rPr>
            </w:pPr>
          </w:p>
        </w:tc>
        <w:tc>
          <w:tcPr>
            <w:tcW w:w="0" w:type="auto"/>
          </w:tcPr>
          <w:p w:rsidR="00E02C27" w:rsidRDefault="00E02C27">
            <w:pPr>
              <w:spacing w:before="60" w:after="60"/>
              <w:ind w:left="0"/>
              <w:jc w:val="center"/>
              <w:rPr>
                <w:rFonts w:ascii="Arial" w:hAnsi="Arial" w:cs="Arial"/>
                <w:sz w:val="20"/>
              </w:rPr>
            </w:pPr>
          </w:p>
        </w:tc>
        <w:tc>
          <w:tcPr>
            <w:tcW w:w="0" w:type="auto"/>
          </w:tcPr>
          <w:p w:rsidR="00E02C27" w:rsidRDefault="00E02C27">
            <w:pPr>
              <w:spacing w:before="60" w:after="60"/>
              <w:ind w:left="0"/>
              <w:jc w:val="center"/>
              <w:rPr>
                <w:rFonts w:ascii="Arial" w:hAnsi="Arial" w:cs="Arial"/>
                <w:b/>
                <w:sz w:val="20"/>
              </w:rPr>
            </w:pPr>
          </w:p>
        </w:tc>
        <w:tc>
          <w:tcPr>
            <w:tcW w:w="0" w:type="auto"/>
          </w:tcPr>
          <w:p w:rsidR="00E02C27" w:rsidRDefault="00E02C27">
            <w:pPr>
              <w:spacing w:before="60" w:after="60"/>
              <w:ind w:left="0"/>
              <w:jc w:val="center"/>
              <w:rPr>
                <w:rFonts w:ascii="Arial" w:hAnsi="Arial" w:cs="Arial"/>
                <w:b/>
                <w:sz w:val="20"/>
              </w:rPr>
            </w:pPr>
          </w:p>
        </w:tc>
      </w:tr>
      <w:tr w:rsidR="00675E9B">
        <w:trPr>
          <w:cantSplit/>
          <w:jc w:val="center"/>
        </w:trPr>
        <w:tc>
          <w:tcPr>
            <w:tcW w:w="0" w:type="auto"/>
            <w:vMerge w:val="restart"/>
            <w:vAlign w:val="center"/>
          </w:tcPr>
          <w:p w:rsidR="00E02C27" w:rsidRDefault="00E02C27">
            <w:pPr>
              <w:spacing w:before="60" w:after="60"/>
              <w:ind w:left="0"/>
              <w:jc w:val="left"/>
              <w:rPr>
                <w:rFonts w:ascii="Arial" w:hAnsi="Arial" w:cs="Arial"/>
                <w:sz w:val="20"/>
              </w:rPr>
            </w:pPr>
            <w:r>
              <w:rPr>
                <w:rFonts w:ascii="Arial" w:hAnsi="Arial" w:cs="Arial"/>
                <w:sz w:val="20"/>
              </w:rPr>
              <w:t>Conceptos relativos al pPAI (componentes entrega del servicio)</w:t>
            </w:r>
          </w:p>
        </w:tc>
        <w:tc>
          <w:tcPr>
            <w:tcW w:w="0" w:type="auto"/>
          </w:tcPr>
          <w:p w:rsidR="00E02C27" w:rsidRDefault="00E02C27">
            <w:pPr>
              <w:spacing w:before="60" w:after="60"/>
              <w:ind w:left="0"/>
              <w:jc w:val="left"/>
              <w:rPr>
                <w:rFonts w:ascii="Arial" w:hAnsi="Arial" w:cs="Arial"/>
                <w:sz w:val="20"/>
              </w:rPr>
            </w:pPr>
            <w:r>
              <w:rPr>
                <w:rFonts w:ascii="Arial" w:hAnsi="Arial" w:cs="Arial"/>
                <w:sz w:val="20"/>
              </w:rPr>
              <w:t>Interfaz Física GigabitEthernet (IF)</w:t>
            </w:r>
          </w:p>
        </w:tc>
        <w:tc>
          <w:tcPr>
            <w:tcW w:w="0" w:type="auto"/>
          </w:tcPr>
          <w:p w:rsidR="00E02C27" w:rsidRDefault="00E02C27">
            <w:pPr>
              <w:spacing w:before="60" w:after="60"/>
              <w:ind w:left="0"/>
              <w:jc w:val="center"/>
              <w:rPr>
                <w:rFonts w:ascii="Arial" w:hAnsi="Arial" w:cs="Arial"/>
                <w:b/>
                <w:sz w:val="20"/>
              </w:rPr>
            </w:pPr>
            <w:r>
              <w:rPr>
                <w:rFonts w:ascii="Arial" w:hAnsi="Arial" w:cs="Arial"/>
                <w:b/>
                <w:sz w:val="20"/>
              </w:rPr>
              <w:t>X</w:t>
            </w:r>
          </w:p>
        </w:tc>
        <w:tc>
          <w:tcPr>
            <w:tcW w:w="0" w:type="auto"/>
          </w:tcPr>
          <w:p w:rsidR="00E02C27" w:rsidRDefault="00E02C27">
            <w:pPr>
              <w:spacing w:before="60" w:after="60"/>
              <w:ind w:left="0"/>
              <w:jc w:val="center"/>
              <w:rPr>
                <w:rFonts w:ascii="Arial" w:hAnsi="Arial" w:cs="Arial"/>
                <w:b/>
                <w:sz w:val="20"/>
              </w:rPr>
            </w:pPr>
            <w:r>
              <w:rPr>
                <w:rFonts w:ascii="Arial" w:hAnsi="Arial" w:cs="Arial"/>
                <w:b/>
                <w:sz w:val="20"/>
              </w:rPr>
              <w:t>X</w:t>
            </w:r>
          </w:p>
        </w:tc>
        <w:tc>
          <w:tcPr>
            <w:tcW w:w="0" w:type="auto"/>
          </w:tcPr>
          <w:p w:rsidR="00E02C27" w:rsidRDefault="00E02C27">
            <w:pPr>
              <w:spacing w:before="60" w:after="60"/>
              <w:ind w:left="0"/>
              <w:jc w:val="center"/>
              <w:rPr>
                <w:rFonts w:ascii="Arial" w:hAnsi="Arial" w:cs="Arial"/>
                <w:b/>
                <w:sz w:val="20"/>
              </w:rPr>
            </w:pPr>
          </w:p>
        </w:tc>
      </w:tr>
      <w:tr w:rsidR="00675E9B">
        <w:trPr>
          <w:cantSplit/>
          <w:jc w:val="center"/>
        </w:trPr>
        <w:tc>
          <w:tcPr>
            <w:tcW w:w="0" w:type="auto"/>
            <w:vMerge/>
          </w:tcPr>
          <w:p w:rsidR="00E02C27" w:rsidRDefault="00E02C27">
            <w:pPr>
              <w:spacing w:before="60" w:after="60"/>
              <w:ind w:left="1418" w:hanging="545"/>
              <w:rPr>
                <w:rFonts w:ascii="Arial" w:hAnsi="Arial" w:cs="Arial"/>
                <w:sz w:val="20"/>
              </w:rPr>
            </w:pPr>
          </w:p>
        </w:tc>
        <w:tc>
          <w:tcPr>
            <w:tcW w:w="0" w:type="auto"/>
          </w:tcPr>
          <w:p w:rsidR="00E02C27" w:rsidRDefault="00783E6F">
            <w:pPr>
              <w:spacing w:before="60" w:after="60"/>
              <w:ind w:left="0"/>
              <w:jc w:val="left"/>
              <w:rPr>
                <w:rFonts w:ascii="Arial" w:hAnsi="Arial" w:cs="Arial"/>
                <w:sz w:val="20"/>
              </w:rPr>
            </w:pPr>
            <w:r>
              <w:rPr>
                <w:rFonts w:ascii="Arial" w:hAnsi="Arial" w:cs="Arial"/>
                <w:sz w:val="20"/>
              </w:rPr>
              <w:t xml:space="preserve">Capacidad </w:t>
            </w:r>
            <w:r w:rsidR="00E02C27">
              <w:rPr>
                <w:rFonts w:ascii="Arial" w:hAnsi="Arial" w:cs="Arial"/>
                <w:sz w:val="20"/>
              </w:rPr>
              <w:t xml:space="preserve">descendente </w:t>
            </w:r>
            <w:r>
              <w:rPr>
                <w:rFonts w:ascii="Arial" w:hAnsi="Arial" w:cs="Arial"/>
                <w:sz w:val="20"/>
              </w:rPr>
              <w:t xml:space="preserve">comprometida </w:t>
            </w:r>
            <w:r w:rsidR="00E02C27">
              <w:rPr>
                <w:rFonts w:ascii="Arial" w:hAnsi="Arial" w:cs="Arial"/>
                <w:sz w:val="20"/>
              </w:rPr>
              <w:t>por QoS</w:t>
            </w:r>
          </w:p>
        </w:tc>
        <w:tc>
          <w:tcPr>
            <w:tcW w:w="0" w:type="auto"/>
          </w:tcPr>
          <w:p w:rsidR="00E02C27" w:rsidRDefault="00E02C27">
            <w:pPr>
              <w:spacing w:before="60" w:after="60"/>
              <w:ind w:left="1418" w:hanging="545"/>
              <w:jc w:val="center"/>
              <w:rPr>
                <w:rFonts w:ascii="Arial" w:hAnsi="Arial" w:cs="Arial"/>
                <w:b/>
                <w:sz w:val="20"/>
              </w:rPr>
            </w:pPr>
          </w:p>
        </w:tc>
        <w:tc>
          <w:tcPr>
            <w:tcW w:w="0" w:type="auto"/>
          </w:tcPr>
          <w:p w:rsidR="00E02C27" w:rsidRDefault="00E02C27">
            <w:pPr>
              <w:spacing w:before="60" w:after="60"/>
              <w:ind w:left="0"/>
              <w:jc w:val="center"/>
              <w:rPr>
                <w:rFonts w:ascii="Arial" w:hAnsi="Arial" w:cs="Arial"/>
                <w:b/>
                <w:sz w:val="20"/>
              </w:rPr>
            </w:pPr>
            <w:r>
              <w:rPr>
                <w:rFonts w:ascii="Arial" w:hAnsi="Arial" w:cs="Arial"/>
                <w:b/>
                <w:sz w:val="20"/>
              </w:rPr>
              <w:t>X</w:t>
            </w:r>
          </w:p>
        </w:tc>
        <w:tc>
          <w:tcPr>
            <w:tcW w:w="0" w:type="auto"/>
          </w:tcPr>
          <w:p w:rsidR="00E02C27" w:rsidRDefault="00E02C27">
            <w:pPr>
              <w:spacing w:before="60" w:after="60"/>
              <w:ind w:left="0"/>
              <w:jc w:val="center"/>
              <w:rPr>
                <w:rFonts w:ascii="Arial" w:hAnsi="Arial" w:cs="Arial"/>
                <w:b/>
                <w:sz w:val="20"/>
              </w:rPr>
            </w:pPr>
          </w:p>
        </w:tc>
      </w:tr>
      <w:tr w:rsidR="00675E9B">
        <w:trPr>
          <w:cantSplit/>
          <w:jc w:val="center"/>
        </w:trPr>
        <w:tc>
          <w:tcPr>
            <w:tcW w:w="0" w:type="auto"/>
            <w:vMerge/>
          </w:tcPr>
          <w:p w:rsidR="00E02C27" w:rsidRDefault="00E02C27">
            <w:pPr>
              <w:spacing w:before="60" w:after="60"/>
              <w:ind w:left="1418" w:hanging="545"/>
              <w:rPr>
                <w:rFonts w:ascii="Arial" w:hAnsi="Arial" w:cs="Arial"/>
                <w:sz w:val="20"/>
              </w:rPr>
            </w:pPr>
          </w:p>
        </w:tc>
        <w:tc>
          <w:tcPr>
            <w:tcW w:w="0" w:type="auto"/>
          </w:tcPr>
          <w:p w:rsidR="00E02C27" w:rsidRDefault="00783E6F">
            <w:pPr>
              <w:spacing w:before="60" w:after="60"/>
              <w:ind w:left="0"/>
              <w:jc w:val="left"/>
              <w:rPr>
                <w:rFonts w:ascii="Arial" w:hAnsi="Arial" w:cs="Arial"/>
                <w:sz w:val="20"/>
              </w:rPr>
            </w:pPr>
            <w:r>
              <w:rPr>
                <w:rFonts w:ascii="Arial" w:hAnsi="Arial" w:cs="Arial"/>
                <w:sz w:val="20"/>
              </w:rPr>
              <w:t xml:space="preserve">Capacidad </w:t>
            </w:r>
            <w:r w:rsidR="00E02C27">
              <w:rPr>
                <w:rFonts w:ascii="Arial" w:hAnsi="Arial" w:cs="Arial"/>
                <w:sz w:val="20"/>
              </w:rPr>
              <w:t>en exceso</w:t>
            </w:r>
            <w:r w:rsidR="00675E9B">
              <w:rPr>
                <w:rFonts w:ascii="Arial" w:hAnsi="Arial" w:cs="Arial"/>
                <w:sz w:val="20"/>
              </w:rPr>
              <w:t xml:space="preserve"> </w:t>
            </w:r>
            <w:r w:rsidR="00997FDA">
              <w:rPr>
                <w:rFonts w:ascii="Arial" w:hAnsi="Arial" w:cs="Arial"/>
                <w:sz w:val="20"/>
              </w:rPr>
              <w:t xml:space="preserve">por QoS </w:t>
            </w:r>
            <w:r w:rsidR="00675E9B">
              <w:rPr>
                <w:rFonts w:ascii="Arial" w:hAnsi="Arial" w:cs="Arial"/>
                <w:sz w:val="20"/>
              </w:rPr>
              <w:t>(si no se solicita descarte de exceso)</w:t>
            </w:r>
          </w:p>
        </w:tc>
        <w:tc>
          <w:tcPr>
            <w:tcW w:w="0" w:type="auto"/>
          </w:tcPr>
          <w:p w:rsidR="00E02C27" w:rsidRDefault="00E02C27">
            <w:pPr>
              <w:spacing w:before="60" w:after="60"/>
              <w:ind w:left="1418" w:hanging="545"/>
              <w:jc w:val="center"/>
              <w:rPr>
                <w:rFonts w:ascii="Arial" w:hAnsi="Arial" w:cs="Arial"/>
                <w:b/>
                <w:sz w:val="20"/>
              </w:rPr>
            </w:pPr>
          </w:p>
        </w:tc>
        <w:tc>
          <w:tcPr>
            <w:tcW w:w="0" w:type="auto"/>
          </w:tcPr>
          <w:p w:rsidR="00E02C27" w:rsidRDefault="00E02C27">
            <w:pPr>
              <w:spacing w:before="60" w:after="60"/>
              <w:ind w:left="0"/>
              <w:jc w:val="center"/>
              <w:rPr>
                <w:rFonts w:ascii="Arial" w:hAnsi="Arial" w:cs="Arial"/>
                <w:b/>
                <w:sz w:val="20"/>
              </w:rPr>
            </w:pPr>
          </w:p>
        </w:tc>
        <w:tc>
          <w:tcPr>
            <w:tcW w:w="0" w:type="auto"/>
          </w:tcPr>
          <w:p w:rsidR="00E02C27" w:rsidRDefault="00E02C27">
            <w:pPr>
              <w:spacing w:before="60" w:after="60"/>
              <w:ind w:left="0"/>
              <w:jc w:val="center"/>
              <w:rPr>
                <w:rFonts w:ascii="Arial" w:hAnsi="Arial" w:cs="Arial"/>
                <w:b/>
                <w:sz w:val="20"/>
              </w:rPr>
            </w:pPr>
            <w:r>
              <w:rPr>
                <w:rFonts w:ascii="Arial" w:hAnsi="Arial" w:cs="Arial"/>
                <w:b/>
                <w:sz w:val="20"/>
              </w:rPr>
              <w:t>X</w:t>
            </w:r>
          </w:p>
        </w:tc>
      </w:tr>
    </w:tbl>
    <w:p w:rsidR="00E02C27" w:rsidRDefault="00E02C27">
      <w:pPr>
        <w:pStyle w:val="Sangra3detindependiente"/>
        <w:ind w:left="1418" w:hanging="545"/>
        <w:rPr>
          <w:rFonts w:ascii="Arial" w:hAnsi="Arial" w:cs="Arial"/>
        </w:rPr>
      </w:pPr>
    </w:p>
    <w:p w:rsidR="00E02C27" w:rsidRDefault="00E02C27">
      <w:pPr>
        <w:spacing w:before="60" w:after="60"/>
        <w:ind w:left="1418" w:hanging="545"/>
        <w:jc w:val="center"/>
        <w:rPr>
          <w:rFonts w:ascii="Arial" w:hAnsi="Arial" w:cs="Arial"/>
          <w:b/>
          <w:bCs/>
          <w:sz w:val="24"/>
          <w:szCs w:val="24"/>
        </w:rPr>
      </w:pPr>
      <w:r>
        <w:rPr>
          <w:rFonts w:ascii="Arial" w:hAnsi="Arial" w:cs="Arial"/>
          <w:b/>
          <w:bCs/>
          <w:sz w:val="24"/>
          <w:szCs w:val="24"/>
        </w:rPr>
        <w:t>Resumen Conceptos Facturables del servicio NEBA</w:t>
      </w:r>
    </w:p>
    <w:p w:rsidR="00E02C27" w:rsidRDefault="00E02C27">
      <w:pPr>
        <w:pStyle w:val="Sangra3detindependiente"/>
        <w:ind w:left="1418" w:hanging="545"/>
        <w:rPr>
          <w:rFonts w:ascii="Arial" w:hAnsi="Arial" w:cs="Arial"/>
        </w:rPr>
      </w:pPr>
    </w:p>
    <w:p w:rsidR="00E02C27" w:rsidRDefault="00E02C27">
      <w:pPr>
        <w:pStyle w:val="NormalWeb"/>
        <w:rPr>
          <w:rFonts w:ascii="Arial" w:hAnsi="Arial" w:cs="Arial"/>
        </w:rPr>
      </w:pPr>
      <w:r>
        <w:rPr>
          <w:rFonts w:ascii="Arial" w:hAnsi="Arial" w:cs="Arial"/>
        </w:rPr>
        <w:t>Además de los conceptos anteriores, se deberán facturar los movimientos posventa, como cambios de modalidad, traspasos, instalaciones de splitter, cableado, etc. Existirá también un catálogo de precios de servicios asociados de mantenimiento.</w:t>
      </w:r>
    </w:p>
    <w:p w:rsidR="00E02C27" w:rsidRDefault="00E02C27">
      <w:pPr>
        <w:pStyle w:val="NormalWeb"/>
        <w:rPr>
          <w:rFonts w:ascii="Arial" w:hAnsi="Arial" w:cs="Arial"/>
        </w:rPr>
      </w:pPr>
    </w:p>
    <w:p w:rsidR="00E02C27" w:rsidRDefault="00E02C27">
      <w:pPr>
        <w:pStyle w:val="NormalWeb"/>
        <w:rPr>
          <w:rFonts w:ascii="MS Shell Dlg 2" w:hAnsi="MS Shell Dlg 2"/>
          <w:color w:val="000000"/>
          <w:sz w:val="18"/>
          <w:szCs w:val="18"/>
        </w:rPr>
      </w:pPr>
      <w:r>
        <w:rPr>
          <w:rFonts w:ascii="Arial" w:hAnsi="Arial" w:cs="Arial"/>
        </w:rPr>
        <w:t>La facturación de los servicios de soporte y acceso se realizará de manera independiente</w:t>
      </w:r>
      <w:r w:rsidR="00706891">
        <w:rPr>
          <w:rFonts w:ascii="Arial" w:hAnsi="Arial" w:cs="Arial"/>
        </w:rPr>
        <w:t>.</w:t>
      </w:r>
      <w:r>
        <w:rPr>
          <w:rFonts w:ascii="Arial" w:hAnsi="Arial" w:cs="Arial"/>
        </w:rPr>
        <w:t xml:space="preserve"> </w:t>
      </w:r>
    </w:p>
    <w:p w:rsidR="00E02C27" w:rsidRDefault="00E02C27">
      <w:pPr>
        <w:pStyle w:val="Textoindependiente"/>
        <w:spacing w:before="60" w:after="60"/>
        <w:ind w:left="431"/>
        <w:rPr>
          <w:rFonts w:ascii="Arial" w:hAnsi="Arial" w:cs="Arial"/>
          <w:lang w:val="es-ES"/>
        </w:rPr>
      </w:pPr>
    </w:p>
    <w:p w:rsidR="00E02C27" w:rsidRDefault="00E02C27">
      <w:pPr>
        <w:pStyle w:val="Sangra3detindependiente"/>
        <w:ind w:left="1418" w:hanging="545"/>
        <w:rPr>
          <w:rFonts w:ascii="Arial" w:hAnsi="Arial" w:cs="Arial"/>
        </w:rPr>
      </w:pPr>
      <w:r>
        <w:rPr>
          <w:rFonts w:ascii="Arial" w:hAnsi="Arial" w:cs="Arial"/>
        </w:rPr>
        <w:br w:type="page"/>
      </w:r>
    </w:p>
    <w:p w:rsidR="00E02C27" w:rsidRDefault="00E02C27">
      <w:pPr>
        <w:pStyle w:val="EstiloTtulo1"/>
      </w:pPr>
      <w:bookmarkStart w:id="71" w:name="_Toc444784469"/>
      <w:r>
        <w:t>OPERACIÓN Y MANTENIMIENTO</w:t>
      </w:r>
      <w:bookmarkEnd w:id="71"/>
    </w:p>
    <w:p w:rsidR="00E02C27" w:rsidRDefault="00E02C27">
      <w:pPr>
        <w:ind w:left="1418" w:hanging="545"/>
        <w:rPr>
          <w:rFonts w:ascii="Arial" w:hAnsi="Arial" w:cs="Arial"/>
        </w:rPr>
      </w:pPr>
    </w:p>
    <w:p w:rsidR="00E02C27" w:rsidRDefault="00E02C27" w:rsidP="006B5381">
      <w:pPr>
        <w:pStyle w:val="EstiloTitulo2"/>
      </w:pPr>
      <w:bookmarkStart w:id="72" w:name="_Toc444784470"/>
      <w:r>
        <w:t>Mecanismos de introducción de reclamaciones y averías.</w:t>
      </w:r>
      <w:bookmarkEnd w:id="72"/>
    </w:p>
    <w:p w:rsidR="00E02C27" w:rsidRDefault="00E02C27">
      <w:pPr>
        <w:ind w:left="1418" w:hanging="545"/>
        <w:rPr>
          <w:rFonts w:ascii="Arial" w:hAnsi="Arial" w:cs="Arial"/>
        </w:rPr>
      </w:pP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Se distinguen tres tipos de reclamaciones:</w:t>
      </w:r>
    </w:p>
    <w:p w:rsidR="00E02C27" w:rsidRDefault="00E02C27">
      <w:pPr>
        <w:pStyle w:val="ComentarioL1"/>
        <w:numPr>
          <w:ilvl w:val="0"/>
          <w:numId w:val="18"/>
        </w:numPr>
        <w:tabs>
          <w:tab w:val="clear" w:pos="1230"/>
          <w:tab w:val="clear" w:pos="1296"/>
          <w:tab w:val="num" w:pos="1240"/>
        </w:tabs>
        <w:spacing w:before="60" w:after="60"/>
        <w:ind w:left="1240"/>
        <w:rPr>
          <w:rFonts w:ascii="Arial" w:hAnsi="Arial" w:cs="Arial"/>
          <w:snapToGrid/>
          <w:color w:val="auto"/>
          <w:sz w:val="24"/>
          <w:szCs w:val="24"/>
          <w:lang w:val="es-ES"/>
        </w:rPr>
      </w:pPr>
      <w:r>
        <w:rPr>
          <w:rFonts w:ascii="Arial" w:hAnsi="Arial" w:cs="Arial"/>
          <w:snapToGrid/>
          <w:color w:val="auto"/>
          <w:sz w:val="24"/>
          <w:szCs w:val="24"/>
          <w:lang w:val="es-ES"/>
        </w:rPr>
        <w:t xml:space="preserve">Reclamaciones de </w:t>
      </w:r>
      <w:r>
        <w:rPr>
          <w:rFonts w:ascii="Arial" w:hAnsi="Arial" w:cs="Arial"/>
          <w:bCs/>
          <w:snapToGrid/>
          <w:color w:val="auto"/>
          <w:sz w:val="24"/>
          <w:szCs w:val="24"/>
          <w:lang w:val="es-ES"/>
        </w:rPr>
        <w:t xml:space="preserve">provisión. </w:t>
      </w:r>
    </w:p>
    <w:p w:rsidR="00E02C27" w:rsidRDefault="00E02C27">
      <w:pPr>
        <w:pStyle w:val="ComentarioL1"/>
        <w:numPr>
          <w:ilvl w:val="0"/>
          <w:numId w:val="18"/>
        </w:numPr>
        <w:tabs>
          <w:tab w:val="clear" w:pos="1230"/>
          <w:tab w:val="clear" w:pos="1296"/>
          <w:tab w:val="num" w:pos="1240"/>
        </w:tabs>
        <w:spacing w:before="60" w:after="60"/>
        <w:ind w:left="1240"/>
        <w:rPr>
          <w:rFonts w:ascii="Arial" w:hAnsi="Arial" w:cs="Arial"/>
          <w:snapToGrid/>
          <w:color w:val="auto"/>
          <w:sz w:val="24"/>
          <w:szCs w:val="24"/>
          <w:lang w:val="es-ES"/>
        </w:rPr>
      </w:pPr>
      <w:r>
        <w:rPr>
          <w:rFonts w:ascii="Arial" w:hAnsi="Arial" w:cs="Arial"/>
          <w:snapToGrid/>
          <w:color w:val="auto"/>
          <w:sz w:val="24"/>
          <w:szCs w:val="24"/>
          <w:lang w:val="es-ES"/>
        </w:rPr>
        <w:t xml:space="preserve">Reclamaciones de </w:t>
      </w:r>
      <w:r>
        <w:rPr>
          <w:rFonts w:ascii="Arial" w:hAnsi="Arial" w:cs="Arial"/>
          <w:bCs/>
          <w:snapToGrid/>
          <w:color w:val="auto"/>
          <w:sz w:val="24"/>
          <w:szCs w:val="24"/>
          <w:lang w:val="es-ES"/>
        </w:rPr>
        <w:t>facturación</w:t>
      </w:r>
      <w:r>
        <w:rPr>
          <w:rFonts w:ascii="Arial" w:hAnsi="Arial" w:cs="Arial"/>
          <w:snapToGrid/>
          <w:color w:val="auto"/>
          <w:sz w:val="24"/>
          <w:szCs w:val="24"/>
          <w:lang w:val="es-ES"/>
        </w:rPr>
        <w:t>. Su tratamiento será similar al del servicio de prolongación de par de la OBA.</w:t>
      </w:r>
    </w:p>
    <w:p w:rsidR="00E02C27" w:rsidRDefault="00E02C27">
      <w:pPr>
        <w:pStyle w:val="ComentarioL1"/>
        <w:numPr>
          <w:ilvl w:val="0"/>
          <w:numId w:val="18"/>
        </w:numPr>
        <w:tabs>
          <w:tab w:val="clear" w:pos="1230"/>
          <w:tab w:val="clear" w:pos="1296"/>
          <w:tab w:val="num" w:pos="1240"/>
        </w:tabs>
        <w:spacing w:before="60" w:after="60"/>
        <w:ind w:left="1240"/>
        <w:rPr>
          <w:rFonts w:ascii="Arial" w:hAnsi="Arial" w:cs="Arial"/>
          <w:snapToGrid/>
          <w:color w:val="auto"/>
          <w:sz w:val="24"/>
          <w:szCs w:val="24"/>
          <w:lang w:val="es-ES"/>
        </w:rPr>
      </w:pPr>
      <w:r>
        <w:rPr>
          <w:rFonts w:ascii="Arial" w:hAnsi="Arial" w:cs="Arial"/>
          <w:snapToGrid/>
          <w:color w:val="auto"/>
          <w:sz w:val="24"/>
          <w:szCs w:val="24"/>
          <w:lang w:val="es-ES"/>
        </w:rPr>
        <w:t xml:space="preserve">Reclamaciones de </w:t>
      </w:r>
      <w:r>
        <w:rPr>
          <w:rFonts w:ascii="Arial" w:hAnsi="Arial" w:cs="Arial"/>
          <w:bCs/>
          <w:snapToGrid/>
          <w:color w:val="auto"/>
          <w:sz w:val="24"/>
          <w:szCs w:val="24"/>
          <w:lang w:val="es-ES"/>
        </w:rPr>
        <w:t xml:space="preserve">infraestructuras o averías </w:t>
      </w:r>
      <w:r>
        <w:rPr>
          <w:rFonts w:ascii="Arial" w:hAnsi="Arial" w:cs="Arial"/>
          <w:snapToGrid/>
          <w:color w:val="auto"/>
          <w:sz w:val="24"/>
          <w:szCs w:val="24"/>
          <w:lang w:val="es-ES"/>
        </w:rPr>
        <w:t xml:space="preserve">(después de que esté el servicio provisionado). Incluidas las que correspondan a una eventual entrega defectuosa. </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 xml:space="preserve">El proceso de gestión de averías y de reclamaciones en NEON se realizará por medio de una comunicación directa entre los sistemas de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xml:space="preserve"> y del Operador, es decir, la implantación efectiva de un proceso B2B. Para sustentar dicho proceso B2B,  se utilizará un canal Web Service (WS), con la excepción de las reclamaciones de facturación. Este proceso es bidireccional, comprendiendo tanto las comunicaciones con sentido de Operador a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xml:space="preserve">, como las comunicaciones de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xml:space="preserve"> al  Operador.</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Las reclamaciones de Facturación se cursarán a través del CAC igual que se ha contemplado en los servicios de prolongación de par en NEON</w:t>
      </w:r>
      <w:r w:rsidR="00EF4BE3">
        <w:rPr>
          <w:rFonts w:ascii="Arial" w:hAnsi="Arial" w:cs="Arial"/>
          <w:snapToGrid/>
          <w:color w:val="auto"/>
          <w:sz w:val="24"/>
          <w:szCs w:val="24"/>
          <w:lang w:val="es-ES"/>
        </w:rPr>
        <w:t>.</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El operador acompañará la avería o la reclamación con la causa o síntoma correspondiente. Se realizarán las validaciones necesarias para comprobar la procedencia de la reclamación. Una vez validada, se remitirá a las unidades responsables de su atención.</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 xml:space="preserve">La plataforma de WS de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xml:space="preserve">  tendrá una alta disponibilidad, sobre la base de equipos redundados y de elevada  disponibilidad individual. No obstante, en caso de caída de la plataforma de WS de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se dispondrá de un Centro de Atención al Cliente (CAC) para registrar la correspondiente actuación. También se facilitará a  los operadores una interfaz H2M alternativa, en los términos descritos en el documento sobre Transformación de Sistemas OBA SGO NEON, en su versión de 2 de diciembre de 2009.</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 xml:space="preserve">Una vez registrada la comunicación reportada por el Operador, ésta se remitirá a los sistemas internos del área de Operaciones de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xml:space="preserve">, para su resolución. </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En la especificación técnica del servicio se desarrollará el modelo de gestión de reclamaciones con el detalle necesario.</w:t>
      </w:r>
    </w:p>
    <w:p w:rsidR="00E02C27" w:rsidRDefault="00E02C27">
      <w:pPr>
        <w:rPr>
          <w:lang w:val="es-ES_tradnl"/>
        </w:rPr>
      </w:pPr>
      <w:r>
        <w:rPr>
          <w:lang w:val="es-ES_tradnl"/>
        </w:rPr>
        <w:br w:type="page"/>
      </w:r>
    </w:p>
    <w:p w:rsidR="00E02C27" w:rsidRDefault="00E02C27" w:rsidP="006B5381">
      <w:pPr>
        <w:pStyle w:val="EstiloTitulo2"/>
      </w:pPr>
      <w:bookmarkStart w:id="73" w:name="_Toc250362071"/>
      <w:bookmarkStart w:id="74" w:name="_Toc444784471"/>
      <w:r>
        <w:t>Procedimientos de gestión de averías</w:t>
      </w:r>
      <w:bookmarkEnd w:id="73"/>
      <w:bookmarkEnd w:id="74"/>
    </w:p>
    <w:p w:rsidR="00E02C27" w:rsidRDefault="00E02C27">
      <w:pPr>
        <w:pStyle w:val="ComentarioL1"/>
        <w:numPr>
          <w:ilvl w:val="0"/>
          <w:numId w:val="0"/>
        </w:numPr>
        <w:tabs>
          <w:tab w:val="clear" w:pos="1230"/>
        </w:tabs>
        <w:spacing w:before="240" w:after="60"/>
        <w:ind w:left="431"/>
        <w:rPr>
          <w:rFonts w:ascii="Arial" w:hAnsi="Arial" w:cs="Arial"/>
          <w:snapToGrid/>
          <w:color w:val="auto"/>
          <w:sz w:val="24"/>
          <w:szCs w:val="24"/>
          <w:lang w:val="es-ES"/>
        </w:rPr>
      </w:pPr>
      <w:r>
        <w:rPr>
          <w:rFonts w:ascii="Arial" w:hAnsi="Arial" w:cs="Arial"/>
          <w:snapToGrid/>
          <w:color w:val="auto"/>
          <w:sz w:val="24"/>
          <w:szCs w:val="24"/>
          <w:lang w:val="es-ES"/>
        </w:rPr>
        <w:t xml:space="preserve">Tal y como se ha señalado, la mejora fundamental en el proceso de gestión de averías en NEON es la comunicación directa entre los sistemas de </w:t>
      </w:r>
      <w:r w:rsidR="009D686F">
        <w:rPr>
          <w:rFonts w:ascii="Arial" w:hAnsi="Arial" w:cs="Arial"/>
          <w:snapToGrid/>
          <w:color w:val="auto"/>
          <w:sz w:val="24"/>
          <w:szCs w:val="24"/>
          <w:lang w:val="es-ES"/>
        </w:rPr>
        <w:t>Telefónica</w:t>
      </w:r>
      <w:r>
        <w:rPr>
          <w:rFonts w:ascii="Arial" w:hAnsi="Arial" w:cs="Arial"/>
          <w:snapToGrid/>
          <w:color w:val="auto"/>
          <w:sz w:val="24"/>
          <w:szCs w:val="24"/>
          <w:lang w:val="es-ES"/>
        </w:rPr>
        <w:t xml:space="preserve"> y de los </w:t>
      </w:r>
      <w:r w:rsidR="00A41886">
        <w:rPr>
          <w:rFonts w:ascii="Arial" w:hAnsi="Arial" w:cs="Arial"/>
          <w:snapToGrid/>
          <w:color w:val="auto"/>
          <w:sz w:val="24"/>
          <w:szCs w:val="24"/>
          <w:lang w:val="es-ES"/>
        </w:rPr>
        <w:t>operadores</w:t>
      </w:r>
      <w:r>
        <w:rPr>
          <w:rFonts w:ascii="Arial" w:hAnsi="Arial" w:cs="Arial"/>
          <w:snapToGrid/>
          <w:color w:val="auto"/>
          <w:sz w:val="24"/>
          <w:szCs w:val="24"/>
          <w:lang w:val="es-ES"/>
        </w:rPr>
        <w:t>, es decir, la implantación efectiva de un proceso B2B basada en lenguaje XML y canal Web Services.</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Para el diagnóstico de las averías se contemplan diversos ámbitos tales como Acceso, Conectividad o red de agregación y punto de conexión o puerto del PAI (pPAI).</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Se evaluarán las características del tráfico de la VLAN del cliente en cuanto a la velocidad, pérdida de paquetes, etc... de las calidades de servicio incluidas en la conexión o VLAN  (BE, ORO y RT).  Dado que podrían abrirse averías sobre un servicio o QoS específico de una VLAN de Operador, el Operador introducirá los parámetros pertinentes (como la QoS) en la introducción de la avería y en la devolución del código de franqueo.</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Telefónica establecerá los mecanismos y medidas para el registro y atención de averías en el ámbito de la red Ethernet. En dicha red, el tráfico generado por cada Operador en cada nodo de agregación o DSLAM/OLT se agrega en una única VLAN después de ser cross-conectado en el nodo de agregación (QinQ) que se establece con el correspondiente pPAI</w:t>
      </w:r>
      <w:r>
        <w:rPr>
          <w:rFonts w:ascii="Arial" w:hAnsi="Arial" w:cs="Arial"/>
          <w:snapToGrid/>
          <w:color w:val="auto"/>
          <w:sz w:val="24"/>
          <w:szCs w:val="24"/>
          <w:lang w:val="es-ES"/>
        </w:rPr>
        <w:noBreakHyphen/>
        <w:t xml:space="preserve">E del Operador. Estas conexiones serán monitorizadas teniendo en cuenta que también pudiera ser necesario inspeccionar en la MAN a nivel de "bit .p.". La diagnosis en la MAN incluye también a los Servicios Soporte. </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 xml:space="preserve">Se definirá un conjunto de códigos de síntomas de las averías así como los correspondientes códigos de franqueo con el resultado del diagnóstico de las averías. </w:t>
      </w:r>
    </w:p>
    <w:p w:rsidR="00E02C27" w:rsidRDefault="00E02C27">
      <w:pPr>
        <w:pStyle w:val="ComentarioL1"/>
        <w:numPr>
          <w:ilvl w:val="0"/>
          <w:numId w:val="0"/>
        </w:numPr>
        <w:tabs>
          <w:tab w:val="clear" w:pos="1230"/>
        </w:tabs>
        <w:spacing w:before="60" w:after="60"/>
        <w:ind w:left="431"/>
        <w:rPr>
          <w:rFonts w:ascii="Arial" w:hAnsi="Arial" w:cs="Arial"/>
          <w:snapToGrid/>
          <w:color w:val="auto"/>
          <w:sz w:val="24"/>
          <w:szCs w:val="24"/>
          <w:lang w:val="es-ES"/>
        </w:rPr>
      </w:pPr>
      <w:r>
        <w:rPr>
          <w:rFonts w:ascii="Arial" w:hAnsi="Arial" w:cs="Arial"/>
          <w:snapToGrid/>
          <w:color w:val="auto"/>
          <w:sz w:val="24"/>
          <w:szCs w:val="24"/>
          <w:lang w:val="es-ES"/>
        </w:rPr>
        <w:t xml:space="preserve">El procedimiento de gestión de averías del NEBA se ajustará a lo especificado en el apartado 7.6 del documento de </w:t>
      </w:r>
      <w:r>
        <w:rPr>
          <w:rFonts w:ascii="Arial" w:hAnsi="Arial" w:cs="Arial"/>
          <w:i/>
          <w:snapToGrid/>
          <w:color w:val="auto"/>
          <w:sz w:val="24"/>
          <w:szCs w:val="24"/>
          <w:lang w:val="es-ES"/>
        </w:rPr>
        <w:t>Transformación de Sistemas OBA SGO NEON</w:t>
      </w:r>
      <w:r>
        <w:rPr>
          <w:rFonts w:ascii="Arial" w:hAnsi="Arial" w:cs="Arial"/>
          <w:snapToGrid/>
          <w:color w:val="auto"/>
          <w:sz w:val="24"/>
          <w:szCs w:val="24"/>
          <w:lang w:val="es-ES"/>
        </w:rPr>
        <w:t>, adaptado al servicio de acceso indirecto NEBA, por lo que se omite en este documento su detalle.</w:t>
      </w:r>
    </w:p>
    <w:p w:rsidR="00393652" w:rsidRDefault="00393652">
      <w:pPr>
        <w:spacing w:before="120"/>
        <w:ind w:left="1636"/>
      </w:pPr>
    </w:p>
    <w:p w:rsidR="00393652" w:rsidRDefault="00393652" w:rsidP="00393652">
      <w:pPr>
        <w:pStyle w:val="EstiloTitulo2"/>
      </w:pPr>
      <w:bookmarkStart w:id="75" w:name="_Toc444784472"/>
      <w:r>
        <w:t>Avisos por averías masivas</w:t>
      </w:r>
      <w:bookmarkEnd w:id="75"/>
    </w:p>
    <w:p w:rsidR="00393652" w:rsidRDefault="00393652" w:rsidP="00711F6C">
      <w:pPr>
        <w:pStyle w:val="ComentarioL1"/>
        <w:numPr>
          <w:ilvl w:val="0"/>
          <w:numId w:val="0"/>
        </w:numPr>
        <w:tabs>
          <w:tab w:val="clear" w:pos="1230"/>
        </w:tabs>
        <w:spacing w:before="60" w:after="60"/>
        <w:ind w:left="431"/>
        <w:rPr>
          <w:rFonts w:ascii="Arial" w:hAnsi="Arial" w:cs="Arial"/>
          <w:sz w:val="24"/>
          <w:szCs w:val="24"/>
        </w:rPr>
      </w:pPr>
      <w:r w:rsidRPr="00711F6C">
        <w:rPr>
          <w:rFonts w:ascii="Arial" w:hAnsi="Arial" w:cs="Arial"/>
          <w:snapToGrid/>
          <w:color w:val="auto"/>
          <w:sz w:val="24"/>
          <w:szCs w:val="24"/>
          <w:lang w:val="es-ES"/>
        </w:rPr>
        <w:t>Telefónica deberá enviar, a la mayor brevedad materialmente posible, un aviso general a los operadores alternativos siempre que se produzca una avería o incidencia sobrevenida que pueda conducir a una afectación colectiva de cualquier servicio OBA</w:t>
      </w:r>
      <w:r>
        <w:rPr>
          <w:rFonts w:ascii="Arial" w:hAnsi="Arial" w:cs="Arial"/>
          <w:snapToGrid/>
          <w:color w:val="auto"/>
          <w:sz w:val="24"/>
          <w:szCs w:val="24"/>
          <w:lang w:val="es-ES"/>
        </w:rPr>
        <w:t xml:space="preserve"> o NEBA</w:t>
      </w:r>
      <w:r w:rsidRPr="00711F6C">
        <w:rPr>
          <w:rFonts w:ascii="Arial" w:hAnsi="Arial" w:cs="Arial"/>
          <w:snapToGrid/>
          <w:color w:val="auto"/>
          <w:sz w:val="24"/>
          <w:szCs w:val="24"/>
          <w:lang w:val="es-ES"/>
        </w:rPr>
        <w:t>.</w:t>
      </w:r>
    </w:p>
    <w:p w:rsidR="00393652" w:rsidRPr="00711F6C" w:rsidRDefault="00393652" w:rsidP="00711F6C">
      <w:pPr>
        <w:pStyle w:val="ComentarioL1"/>
        <w:numPr>
          <w:ilvl w:val="0"/>
          <w:numId w:val="0"/>
        </w:numPr>
        <w:tabs>
          <w:tab w:val="clear" w:pos="1230"/>
        </w:tabs>
        <w:spacing w:before="60" w:after="60"/>
        <w:ind w:left="431"/>
        <w:rPr>
          <w:rFonts w:ascii="Arial" w:hAnsi="Arial" w:cs="Arial"/>
          <w:sz w:val="24"/>
          <w:szCs w:val="24"/>
        </w:rPr>
      </w:pPr>
    </w:p>
    <w:p w:rsidR="00E02C27" w:rsidRDefault="00393652" w:rsidP="00711F6C">
      <w:pPr>
        <w:pStyle w:val="ComentarioL1"/>
        <w:numPr>
          <w:ilvl w:val="0"/>
          <w:numId w:val="0"/>
        </w:numPr>
        <w:tabs>
          <w:tab w:val="clear" w:pos="1230"/>
        </w:tabs>
        <w:spacing w:before="60" w:after="60"/>
        <w:ind w:left="431"/>
      </w:pPr>
      <w:r w:rsidRPr="00711F6C">
        <w:rPr>
          <w:rFonts w:ascii="Arial" w:hAnsi="Arial" w:cs="Arial"/>
          <w:snapToGrid/>
          <w:color w:val="auto"/>
          <w:sz w:val="24"/>
          <w:szCs w:val="24"/>
          <w:lang w:val="es-ES"/>
        </w:rPr>
        <w:t xml:space="preserve">Dicho aviso tomará la forma de un mensaje de correo electrónico dirigido a todos los operadores usuarios </w:t>
      </w:r>
      <w:r>
        <w:rPr>
          <w:rFonts w:ascii="Arial" w:hAnsi="Arial" w:cs="Arial"/>
          <w:snapToGrid/>
          <w:color w:val="auto"/>
          <w:sz w:val="24"/>
          <w:szCs w:val="24"/>
          <w:lang w:val="es-ES"/>
        </w:rPr>
        <w:t>de los servicios afectados</w:t>
      </w:r>
      <w:r w:rsidRPr="00711F6C">
        <w:rPr>
          <w:rFonts w:ascii="Arial" w:hAnsi="Arial" w:cs="Arial"/>
          <w:snapToGrid/>
          <w:color w:val="auto"/>
          <w:sz w:val="24"/>
          <w:szCs w:val="24"/>
          <w:lang w:val="es-ES"/>
        </w:rPr>
        <w:t>, sin exclusión alguna, con indicación del código MIGA donde reside el equipo o instalación afectada y una fecha y hora estimadas de solución.</w:t>
      </w:r>
      <w:r w:rsidR="00E02C27">
        <w:br w:type="page"/>
      </w:r>
    </w:p>
    <w:p w:rsidR="00E02C27" w:rsidRDefault="00E02C27">
      <w:pPr>
        <w:pStyle w:val="EstiloTtulo1"/>
      </w:pPr>
      <w:bookmarkStart w:id="76" w:name="_Toc444784473"/>
      <w:r>
        <w:t>CALIDAD DEL SERVICIO  y ANS</w:t>
      </w:r>
      <w:bookmarkEnd w:id="76"/>
    </w:p>
    <w:p w:rsidR="00E02C27" w:rsidRDefault="00E02C27">
      <w:pPr>
        <w:ind w:left="1418" w:hanging="545"/>
        <w:rPr>
          <w:rFonts w:ascii="Arial" w:hAnsi="Arial" w:cs="Arial"/>
        </w:rPr>
      </w:pPr>
    </w:p>
    <w:p w:rsidR="00E02C27" w:rsidRDefault="00E02C27" w:rsidP="006B5381">
      <w:pPr>
        <w:pStyle w:val="EstiloTitulo2"/>
      </w:pPr>
      <w:bookmarkStart w:id="77" w:name="_Ref263869108"/>
      <w:bookmarkStart w:id="78" w:name="_Toc444784474"/>
      <w:r>
        <w:t>Plazos de Provisión y Mantenimiento (Averías)</w:t>
      </w:r>
      <w:bookmarkEnd w:id="77"/>
      <w:bookmarkEnd w:id="78"/>
    </w:p>
    <w:p w:rsidR="00E02C27" w:rsidRDefault="00677F78">
      <w:pPr>
        <w:spacing w:before="240" w:after="60"/>
        <w:ind w:left="431"/>
        <w:rPr>
          <w:rFonts w:ascii="Arial" w:hAnsi="Arial" w:cs="Arial"/>
          <w:sz w:val="24"/>
          <w:szCs w:val="24"/>
        </w:rPr>
      </w:pPr>
      <w:r>
        <w:rPr>
          <w:rFonts w:ascii="Arial" w:hAnsi="Arial" w:cs="Arial"/>
          <w:sz w:val="24"/>
          <w:szCs w:val="24"/>
        </w:rPr>
        <w:t>Se</w:t>
      </w:r>
      <w:r w:rsidR="00E02C27">
        <w:rPr>
          <w:rFonts w:ascii="Arial" w:hAnsi="Arial" w:cs="Arial"/>
          <w:sz w:val="24"/>
          <w:szCs w:val="24"/>
        </w:rPr>
        <w:t xml:space="preserve"> establece</w:t>
      </w:r>
      <w:r>
        <w:rPr>
          <w:rFonts w:ascii="Arial" w:hAnsi="Arial" w:cs="Arial"/>
          <w:sz w:val="24"/>
          <w:szCs w:val="24"/>
        </w:rPr>
        <w:t>n</w:t>
      </w:r>
      <w:r w:rsidR="00E02C27">
        <w:rPr>
          <w:rFonts w:ascii="Arial" w:hAnsi="Arial" w:cs="Arial"/>
          <w:sz w:val="24"/>
          <w:szCs w:val="24"/>
        </w:rPr>
        <w:t xml:space="preserve"> parámetros o indicadores de calidad (</w:t>
      </w:r>
      <w:r w:rsidR="00E02C27">
        <w:rPr>
          <w:rFonts w:ascii="Arial" w:hAnsi="Arial" w:cs="Arial"/>
          <w:i/>
          <w:iCs/>
          <w:sz w:val="24"/>
          <w:szCs w:val="24"/>
        </w:rPr>
        <w:t>Key Performance Indicators KPI</w:t>
      </w:r>
      <w:r w:rsidR="00E02C27">
        <w:rPr>
          <w:rFonts w:ascii="Arial" w:hAnsi="Arial" w:cs="Arial"/>
          <w:sz w:val="24"/>
          <w:szCs w:val="24"/>
        </w:rPr>
        <w:t>) para los tiempos de provisión, mantenimiento y reclamaciones de provisión del servicio NEBA que dependerán</w:t>
      </w:r>
      <w:r>
        <w:rPr>
          <w:rFonts w:ascii="Arial" w:hAnsi="Arial" w:cs="Arial"/>
          <w:sz w:val="24"/>
          <w:szCs w:val="24"/>
        </w:rPr>
        <w:t xml:space="preserve"> </w:t>
      </w:r>
      <w:r w:rsidR="00E02C27">
        <w:rPr>
          <w:rFonts w:ascii="Arial" w:hAnsi="Arial" w:cs="Arial"/>
          <w:sz w:val="24"/>
          <w:szCs w:val="24"/>
        </w:rPr>
        <w:t xml:space="preserve">de la tecnología. </w:t>
      </w:r>
    </w:p>
    <w:p w:rsidR="00E02C27" w:rsidRDefault="00043D08">
      <w:pPr>
        <w:spacing w:before="60" w:after="60"/>
        <w:ind w:left="431"/>
        <w:rPr>
          <w:rFonts w:ascii="Arial" w:hAnsi="Arial" w:cs="Arial"/>
          <w:sz w:val="24"/>
          <w:szCs w:val="24"/>
        </w:rPr>
      </w:pPr>
      <w:r>
        <w:rPr>
          <w:rFonts w:ascii="Arial" w:hAnsi="Arial" w:cs="Arial"/>
          <w:sz w:val="24"/>
          <w:szCs w:val="24"/>
        </w:rPr>
        <w:t>L</w:t>
      </w:r>
      <w:r w:rsidR="00E02C27">
        <w:rPr>
          <w:rFonts w:ascii="Arial" w:hAnsi="Arial" w:cs="Arial"/>
          <w:sz w:val="24"/>
          <w:szCs w:val="24"/>
        </w:rPr>
        <w:t xml:space="preserve">os KPI se </w:t>
      </w:r>
      <w:r>
        <w:rPr>
          <w:rFonts w:ascii="Arial" w:hAnsi="Arial" w:cs="Arial"/>
          <w:sz w:val="24"/>
          <w:szCs w:val="24"/>
        </w:rPr>
        <w:t xml:space="preserve">podrán revisar </w:t>
      </w:r>
      <w:r w:rsidR="00E02C27">
        <w:rPr>
          <w:rFonts w:ascii="Arial" w:hAnsi="Arial" w:cs="Arial"/>
          <w:sz w:val="24"/>
          <w:szCs w:val="24"/>
        </w:rPr>
        <w:t>con periodicidad anual. No obstante, se podrán utilizar como referencia inicial los actualmente utilizados en los acuerdos T</w:t>
      </w:r>
      <w:r w:rsidR="008A49DD">
        <w:rPr>
          <w:rFonts w:ascii="Arial" w:hAnsi="Arial" w:cs="Arial"/>
          <w:sz w:val="24"/>
          <w:szCs w:val="24"/>
        </w:rPr>
        <w:t>elefónica</w:t>
      </w:r>
      <w:r w:rsidR="00E02C27">
        <w:rPr>
          <w:rFonts w:ascii="Arial" w:hAnsi="Arial" w:cs="Arial"/>
          <w:sz w:val="24"/>
          <w:szCs w:val="24"/>
        </w:rPr>
        <w:t>-Operador allá donde existan condiciones de servicio y tecnología comparables.</w:t>
      </w:r>
    </w:p>
    <w:p w:rsidR="00F123F2" w:rsidRPr="00F123F2" w:rsidRDefault="00F123F2" w:rsidP="00F123F2">
      <w:pPr>
        <w:spacing w:before="60" w:after="60"/>
        <w:ind w:left="431"/>
        <w:rPr>
          <w:rFonts w:ascii="Arial" w:hAnsi="Arial" w:cs="Arial"/>
          <w:sz w:val="24"/>
          <w:szCs w:val="24"/>
        </w:rPr>
      </w:pPr>
      <w:r w:rsidRPr="00F123F2">
        <w:rPr>
          <w:rFonts w:ascii="Arial" w:hAnsi="Arial" w:cs="Arial"/>
          <w:sz w:val="24"/>
          <w:szCs w:val="24"/>
        </w:rPr>
        <w:t>El cumplimiento de estos plazos implica que el Operador facilite una previsión de la demanda con 6 meses de antelación. Telefónica garantiza que la demanda prevista se atenderá en los plazos máximos especificados.</w:t>
      </w:r>
    </w:p>
    <w:p w:rsidR="00E02C27" w:rsidRDefault="00E02C27" w:rsidP="00AF32C8">
      <w:pPr>
        <w:pStyle w:val="EstiloTtulo3"/>
      </w:pPr>
      <w:bookmarkStart w:id="79" w:name="_Toc444784475"/>
      <w:r>
        <w:t>Metodología de obtención de datos y penalizaciones</w:t>
      </w:r>
      <w:bookmarkEnd w:id="79"/>
    </w:p>
    <w:p w:rsidR="00E02C27" w:rsidRDefault="00E02C27" w:rsidP="00AF32C8">
      <w:pPr>
        <w:spacing w:before="60" w:after="60"/>
        <w:ind w:left="431"/>
        <w:rPr>
          <w:rFonts w:ascii="Arial" w:hAnsi="Arial" w:cs="Arial"/>
          <w:sz w:val="24"/>
          <w:szCs w:val="24"/>
        </w:rPr>
      </w:pPr>
      <w:r>
        <w:rPr>
          <w:rFonts w:ascii="Arial" w:hAnsi="Arial" w:cs="Arial"/>
          <w:sz w:val="24"/>
          <w:szCs w:val="24"/>
        </w:rPr>
        <w:t>Se tomarán medidas de los KPI con una periodicidad determinada (por ejemplo mensual) y se determinarán las variables estadísticas que se consideren relevantes (media u otras). El valor o valores resultantes se compararán con el valor o valores de referencia. En función de esta comparativa, se aplicará el criterio de penalización por incumplimiento de T</w:t>
      </w:r>
      <w:r w:rsidR="008A49DD">
        <w:rPr>
          <w:rFonts w:ascii="Arial" w:hAnsi="Arial" w:cs="Arial"/>
          <w:sz w:val="24"/>
          <w:szCs w:val="24"/>
        </w:rPr>
        <w:t>elefónica</w:t>
      </w:r>
      <w:r>
        <w:rPr>
          <w:rFonts w:ascii="Arial" w:hAnsi="Arial" w:cs="Arial"/>
          <w:sz w:val="24"/>
          <w:szCs w:val="24"/>
        </w:rPr>
        <w:t xml:space="preserve">. </w:t>
      </w:r>
    </w:p>
    <w:p w:rsidR="00007C4B" w:rsidRDefault="00007C4B" w:rsidP="00AF32C8">
      <w:pPr>
        <w:pStyle w:val="EstiloTtulo3"/>
      </w:pPr>
      <w:bookmarkStart w:id="80" w:name="_Toc444784476"/>
      <w:r>
        <w:t>Provisión de servicios</w:t>
      </w:r>
      <w:bookmarkEnd w:id="80"/>
    </w:p>
    <w:p w:rsidR="00007C4B" w:rsidRDefault="00007C4B" w:rsidP="00AF32C8">
      <w:pPr>
        <w:spacing w:before="60" w:after="60"/>
        <w:ind w:left="431"/>
        <w:rPr>
          <w:rFonts w:ascii="Arial" w:hAnsi="Arial" w:cs="Arial"/>
          <w:sz w:val="24"/>
          <w:szCs w:val="24"/>
        </w:rPr>
      </w:pPr>
      <w:r w:rsidRPr="00007C4B">
        <w:rPr>
          <w:rFonts w:ascii="Arial" w:hAnsi="Arial" w:cs="Arial"/>
          <w:sz w:val="24"/>
          <w:szCs w:val="24"/>
        </w:rPr>
        <w:t xml:space="preserve">Se define el indicador de tiempo de provisión garantizado como el tiempo máximo para la correcta provisión del servicio, que se corresponderá con el tiempo transcurrido desde </w:t>
      </w:r>
      <w:r w:rsidR="007B6A01">
        <w:rPr>
          <w:rFonts w:ascii="Arial" w:hAnsi="Arial" w:cs="Arial"/>
          <w:sz w:val="24"/>
          <w:szCs w:val="24"/>
        </w:rPr>
        <w:t>el</w:t>
      </w:r>
      <w:r w:rsidR="007B6A01" w:rsidRPr="00007C4B">
        <w:rPr>
          <w:rFonts w:ascii="Arial" w:hAnsi="Arial" w:cs="Arial"/>
          <w:sz w:val="24"/>
          <w:szCs w:val="24"/>
        </w:rPr>
        <w:t xml:space="preserve"> </w:t>
      </w:r>
      <w:r w:rsidRPr="00007C4B">
        <w:rPr>
          <w:rFonts w:ascii="Arial" w:hAnsi="Arial" w:cs="Arial"/>
          <w:sz w:val="24"/>
          <w:szCs w:val="24"/>
        </w:rPr>
        <w:t>hito inicial hasta la entrega efectiva del servicio.</w:t>
      </w:r>
      <w:r w:rsidR="007B6A01">
        <w:rPr>
          <w:rFonts w:ascii="Arial" w:hAnsi="Arial" w:cs="Arial"/>
          <w:sz w:val="24"/>
          <w:szCs w:val="24"/>
        </w:rPr>
        <w:t xml:space="preserve"> El hito inicial será </w:t>
      </w:r>
      <w:r w:rsidR="007B6A01" w:rsidRPr="00007C4B">
        <w:rPr>
          <w:rFonts w:ascii="Arial" w:hAnsi="Arial" w:cs="Arial"/>
          <w:sz w:val="24"/>
          <w:szCs w:val="24"/>
        </w:rPr>
        <w:t xml:space="preserve">la </w:t>
      </w:r>
      <w:r w:rsidR="00D0364F">
        <w:rPr>
          <w:rFonts w:ascii="Arial" w:hAnsi="Arial" w:cs="Arial"/>
          <w:sz w:val="24"/>
          <w:szCs w:val="24"/>
        </w:rPr>
        <w:t xml:space="preserve">fecha de </w:t>
      </w:r>
      <w:r w:rsidR="007B6A01" w:rsidRPr="00007C4B">
        <w:rPr>
          <w:rFonts w:ascii="Arial" w:hAnsi="Arial" w:cs="Arial"/>
          <w:sz w:val="24"/>
          <w:szCs w:val="24"/>
        </w:rPr>
        <w:t>recepción de la solicitud</w:t>
      </w:r>
      <w:r w:rsidR="00351EE1">
        <w:rPr>
          <w:rFonts w:ascii="Arial" w:hAnsi="Arial" w:cs="Arial"/>
          <w:sz w:val="24"/>
          <w:szCs w:val="24"/>
        </w:rPr>
        <w:t xml:space="preserve">, salvo en aquellos servicios </w:t>
      </w:r>
      <w:r w:rsidR="001A6C17">
        <w:rPr>
          <w:rFonts w:ascii="Arial" w:hAnsi="Arial" w:cs="Arial"/>
          <w:sz w:val="24"/>
          <w:szCs w:val="24"/>
        </w:rPr>
        <w:t xml:space="preserve">para los cuales </w:t>
      </w:r>
      <w:r w:rsidR="00351EE1">
        <w:rPr>
          <w:rFonts w:ascii="Arial" w:hAnsi="Arial" w:cs="Arial"/>
          <w:sz w:val="24"/>
          <w:szCs w:val="24"/>
        </w:rPr>
        <w:t xml:space="preserve">se indique expresamente </w:t>
      </w:r>
      <w:r w:rsidR="001A6C17">
        <w:rPr>
          <w:rFonts w:ascii="Arial" w:hAnsi="Arial" w:cs="Arial"/>
          <w:sz w:val="24"/>
          <w:szCs w:val="24"/>
        </w:rPr>
        <w:t xml:space="preserve">en la Oferta </w:t>
      </w:r>
      <w:r w:rsidR="00351EE1">
        <w:rPr>
          <w:rFonts w:ascii="Arial" w:hAnsi="Arial" w:cs="Arial"/>
          <w:sz w:val="24"/>
          <w:szCs w:val="24"/>
        </w:rPr>
        <w:t xml:space="preserve">un hito inicial </w:t>
      </w:r>
      <w:r w:rsidR="001A6C17">
        <w:rPr>
          <w:rFonts w:ascii="Arial" w:hAnsi="Arial" w:cs="Arial"/>
          <w:sz w:val="24"/>
          <w:szCs w:val="24"/>
        </w:rPr>
        <w:t>diferente</w:t>
      </w:r>
      <w:r w:rsidR="00351EE1">
        <w:rPr>
          <w:rFonts w:ascii="Arial" w:hAnsi="Arial" w:cs="Arial"/>
          <w:sz w:val="24"/>
          <w:szCs w:val="24"/>
        </w:rPr>
        <w:t>.</w:t>
      </w:r>
    </w:p>
    <w:p w:rsidR="00591B88" w:rsidRDefault="00591B88" w:rsidP="00AF32C8">
      <w:pPr>
        <w:spacing w:before="60" w:after="60"/>
        <w:ind w:left="431"/>
        <w:rPr>
          <w:rFonts w:ascii="Arial" w:hAnsi="Arial" w:cs="Arial"/>
          <w:sz w:val="24"/>
          <w:szCs w:val="24"/>
        </w:rPr>
      </w:pPr>
      <w:r>
        <w:rPr>
          <w:rFonts w:ascii="Arial" w:hAnsi="Arial" w:cs="Arial"/>
          <w:sz w:val="24"/>
          <w:szCs w:val="24"/>
        </w:rPr>
        <w:t>Los tiempos de provisión garantizados para los distintos servicios así como las penalizaciones asociadas a su incumplimiento se detallan en el Anexo de Acuerdos de Nivel de Servicio (ANS).</w:t>
      </w:r>
    </w:p>
    <w:p w:rsidR="00007C4B" w:rsidRDefault="001121AA" w:rsidP="00AF32C8">
      <w:pPr>
        <w:pStyle w:val="EstiloTtulo3"/>
      </w:pPr>
      <w:bookmarkStart w:id="81" w:name="_Toc444784477"/>
      <w:r>
        <w:t>Incidencias de provisión</w:t>
      </w:r>
      <w:bookmarkEnd w:id="81"/>
    </w:p>
    <w:p w:rsidR="001121AA" w:rsidRPr="001121AA" w:rsidRDefault="001121AA" w:rsidP="00591B88">
      <w:pPr>
        <w:spacing w:before="60" w:after="60"/>
        <w:ind w:left="426"/>
        <w:rPr>
          <w:rFonts w:ascii="Arial" w:hAnsi="Arial" w:cs="Arial"/>
          <w:sz w:val="24"/>
          <w:szCs w:val="24"/>
        </w:rPr>
      </w:pPr>
      <w:r>
        <w:rPr>
          <w:rFonts w:ascii="Arial" w:hAnsi="Arial" w:cs="Arial"/>
          <w:sz w:val="24"/>
          <w:szCs w:val="24"/>
        </w:rPr>
        <w:t xml:space="preserve">Se define el tiempo de resolución de incidencia de provisión como </w:t>
      </w:r>
      <w:r w:rsidRPr="001121AA">
        <w:rPr>
          <w:rFonts w:ascii="Arial" w:hAnsi="Arial" w:cs="Arial"/>
          <w:sz w:val="24"/>
          <w:szCs w:val="24"/>
        </w:rPr>
        <w:t>el tiempo transcurrido desde la apertura por el operador autorizado de una incidencia de provisión, hasta que la incidencia ha sido resuelta satisfactoriamente para el operador autorizado (incluye la aceptación por parte del mismo y el cierre de la incidencia). Los indicadores de tiempo a comparar serán los propios de cada avería y no los tiempos medios.</w:t>
      </w:r>
    </w:p>
    <w:p w:rsidR="001121AA" w:rsidRPr="001121AA" w:rsidRDefault="00591B88" w:rsidP="00591B88">
      <w:pPr>
        <w:spacing w:before="240" w:after="240"/>
        <w:ind w:left="426"/>
        <w:rPr>
          <w:rFonts w:ascii="Arial" w:hAnsi="Arial" w:cs="Arial"/>
          <w:sz w:val="24"/>
          <w:szCs w:val="24"/>
        </w:rPr>
      </w:pPr>
      <w:r>
        <w:rPr>
          <w:rFonts w:cs="Arial"/>
          <w:sz w:val="24"/>
          <w:szCs w:val="24"/>
        </w:rPr>
        <w:t xml:space="preserve">Los tiempos de resolución garantizados para las incidencias de provisión </w:t>
      </w:r>
      <w:r w:rsidR="00272B3D">
        <w:rPr>
          <w:rFonts w:ascii="Arial" w:hAnsi="Arial" w:cs="Arial"/>
          <w:sz w:val="24"/>
          <w:szCs w:val="24"/>
        </w:rPr>
        <w:t>así como las penalizaciones asociadas a su incumplimiento se detallan en el Anexo de Acuerdos de Nivel de Servicio (ANS).</w:t>
      </w:r>
    </w:p>
    <w:p w:rsidR="001121AA" w:rsidRDefault="00A504E0" w:rsidP="00AF32C8">
      <w:pPr>
        <w:pStyle w:val="EstiloTtulo3"/>
      </w:pPr>
      <w:bookmarkStart w:id="82" w:name="_Toc444784478"/>
      <w:r>
        <w:t>Incidencias de averías</w:t>
      </w:r>
      <w:bookmarkEnd w:id="82"/>
    </w:p>
    <w:p w:rsidR="00A504E0" w:rsidRPr="00A504E0" w:rsidRDefault="00A504E0" w:rsidP="00AF32C8">
      <w:pPr>
        <w:spacing w:before="60" w:after="60"/>
        <w:ind w:left="709"/>
        <w:rPr>
          <w:rFonts w:ascii="Arial" w:hAnsi="Arial" w:cs="Arial"/>
          <w:sz w:val="24"/>
          <w:szCs w:val="24"/>
        </w:rPr>
      </w:pPr>
      <w:r>
        <w:rPr>
          <w:rFonts w:ascii="Arial" w:hAnsi="Arial" w:cs="Arial"/>
          <w:sz w:val="24"/>
          <w:szCs w:val="24"/>
        </w:rPr>
        <w:t>S</w:t>
      </w:r>
      <w:r w:rsidRPr="00A504E0">
        <w:rPr>
          <w:rFonts w:ascii="Arial" w:hAnsi="Arial" w:cs="Arial"/>
          <w:sz w:val="24"/>
          <w:szCs w:val="24"/>
        </w:rPr>
        <w:t xml:space="preserve">e </w:t>
      </w:r>
      <w:r>
        <w:rPr>
          <w:rFonts w:ascii="Arial" w:hAnsi="Arial" w:cs="Arial"/>
          <w:sz w:val="24"/>
          <w:szCs w:val="24"/>
        </w:rPr>
        <w:t>define</w:t>
      </w:r>
      <w:r w:rsidRPr="00A504E0">
        <w:rPr>
          <w:rFonts w:ascii="Arial" w:hAnsi="Arial" w:cs="Arial"/>
          <w:sz w:val="24"/>
          <w:szCs w:val="24"/>
        </w:rPr>
        <w:t xml:space="preserve"> el tiempo de resolución de i</w:t>
      </w:r>
      <w:r>
        <w:rPr>
          <w:rFonts w:ascii="Arial" w:hAnsi="Arial" w:cs="Arial"/>
          <w:sz w:val="24"/>
          <w:szCs w:val="24"/>
        </w:rPr>
        <w:t xml:space="preserve">ncidencias como el </w:t>
      </w:r>
      <w:r w:rsidRPr="00A504E0">
        <w:rPr>
          <w:rFonts w:ascii="Arial" w:hAnsi="Arial" w:cs="Arial"/>
          <w:sz w:val="24"/>
          <w:szCs w:val="24"/>
        </w:rPr>
        <w:t xml:space="preserve">tiempo transcurrido desde la apertura por el operador autorizado de una incidencia por averías, hasta que la avería ha sido subsanada y el operador autorizado informado de ello (incluye la aceptación por parte del mismo y el cierre de la incidencia). Los indicadores de tiempo a comparar serán los propios de cada avería y no los tiempos medios. </w:t>
      </w:r>
    </w:p>
    <w:p w:rsidR="00272B3D" w:rsidRPr="001121AA" w:rsidRDefault="004E365D" w:rsidP="00711F6C">
      <w:pPr>
        <w:spacing w:before="240" w:after="240"/>
        <w:ind w:left="709"/>
        <w:rPr>
          <w:rFonts w:ascii="Arial" w:hAnsi="Arial" w:cs="Arial"/>
          <w:sz w:val="24"/>
          <w:szCs w:val="24"/>
        </w:rPr>
      </w:pPr>
      <w:r>
        <w:rPr>
          <w:rFonts w:cs="Arial"/>
          <w:sz w:val="24"/>
          <w:szCs w:val="24"/>
        </w:rPr>
        <w:t xml:space="preserve">Los tiempos de resolución garantizados para </w:t>
      </w:r>
      <w:r w:rsidR="00272B3D">
        <w:rPr>
          <w:rFonts w:ascii="Arial" w:hAnsi="Arial" w:cs="Arial"/>
          <w:sz w:val="24"/>
          <w:szCs w:val="24"/>
        </w:rPr>
        <w:t>las incidencias de provisión así como las penalizaciones asociadas a su incumplimiento se detallan en el Anexo de Acuerdos de Nivel de Servicio (ANS).</w:t>
      </w:r>
    </w:p>
    <w:p w:rsidR="00E04F2D" w:rsidRPr="002831DA" w:rsidRDefault="00E04F2D" w:rsidP="006657B0">
      <w:pPr>
        <w:spacing w:before="60" w:after="60"/>
        <w:ind w:left="709"/>
        <w:rPr>
          <w:rFonts w:ascii="Arial" w:hAnsi="Arial" w:cs="Arial"/>
          <w:sz w:val="24"/>
          <w:szCs w:val="24"/>
        </w:rPr>
      </w:pPr>
      <w:r w:rsidRPr="002831DA">
        <w:rPr>
          <w:rFonts w:ascii="Arial" w:hAnsi="Arial" w:cs="Arial"/>
          <w:sz w:val="24"/>
          <w:szCs w:val="24"/>
        </w:rPr>
        <w:t>Telefónica proporcionará los siguientes</w:t>
      </w:r>
      <w:r w:rsidR="002831DA" w:rsidRPr="002831DA">
        <w:rPr>
          <w:rFonts w:ascii="Arial" w:hAnsi="Arial" w:cs="Arial"/>
          <w:sz w:val="24"/>
          <w:szCs w:val="24"/>
        </w:rPr>
        <w:t xml:space="preserve"> </w:t>
      </w:r>
      <w:r w:rsidRPr="002831DA">
        <w:rPr>
          <w:rFonts w:ascii="Arial" w:hAnsi="Arial" w:cs="Arial"/>
          <w:sz w:val="24"/>
          <w:szCs w:val="24"/>
        </w:rPr>
        <w:t>KPIs en relación a los parámetros de mantenimiento</w:t>
      </w:r>
      <w:r w:rsidR="007473C9">
        <w:rPr>
          <w:rFonts w:ascii="Arial" w:hAnsi="Arial" w:cs="Arial"/>
          <w:sz w:val="24"/>
          <w:szCs w:val="24"/>
        </w:rPr>
        <w:t xml:space="preserve">, </w:t>
      </w:r>
      <w:r w:rsidRPr="002831DA">
        <w:rPr>
          <w:rFonts w:ascii="Arial" w:hAnsi="Arial" w:cs="Arial"/>
          <w:sz w:val="24"/>
          <w:szCs w:val="24"/>
        </w:rPr>
        <w:t>que permita</w:t>
      </w:r>
      <w:r w:rsidR="007473C9">
        <w:rPr>
          <w:rFonts w:ascii="Arial" w:hAnsi="Arial" w:cs="Arial"/>
          <w:sz w:val="24"/>
          <w:szCs w:val="24"/>
        </w:rPr>
        <w:t>n</w:t>
      </w:r>
      <w:r w:rsidRPr="002831DA">
        <w:rPr>
          <w:rFonts w:ascii="Arial" w:hAnsi="Arial" w:cs="Arial"/>
          <w:sz w:val="24"/>
          <w:szCs w:val="24"/>
        </w:rPr>
        <w:t xml:space="preserve"> verificar que los valores obtenidos son equivalentes a los propios para su autoprestación:</w:t>
      </w:r>
    </w:p>
    <w:p w:rsidR="00E04F2D" w:rsidRPr="008A49DD" w:rsidRDefault="00E04F2D" w:rsidP="008A49DD">
      <w:pPr>
        <w:spacing w:before="240" w:after="60"/>
        <w:ind w:left="709"/>
        <w:rPr>
          <w:rFonts w:ascii="Arial" w:hAnsi="Arial" w:cs="Arial"/>
          <w:sz w:val="24"/>
          <w:szCs w:val="24"/>
          <w:u w:val="single"/>
        </w:rPr>
      </w:pPr>
      <w:r w:rsidRPr="008A49DD">
        <w:rPr>
          <w:rFonts w:ascii="Arial" w:hAnsi="Arial" w:cs="Arial"/>
          <w:sz w:val="24"/>
          <w:szCs w:val="24"/>
          <w:u w:val="single"/>
        </w:rPr>
        <w:t>Averías infancia</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Tasa de averías de infancia (30 días desde la entrega) totales por cada 100 circuitos.</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Tasa de averías de infancia (30 días desde la entrega) imputables a Telefónica por cada 100 circuitos.</w:t>
      </w:r>
    </w:p>
    <w:p w:rsidR="00E04F2D" w:rsidRPr="00E04F2D" w:rsidRDefault="00E04F2D" w:rsidP="008A49DD">
      <w:pPr>
        <w:spacing w:before="240" w:after="60"/>
        <w:ind w:left="709"/>
        <w:rPr>
          <w:rFonts w:ascii="Arial" w:hAnsi="Arial" w:cs="Arial"/>
          <w:sz w:val="24"/>
          <w:szCs w:val="24"/>
          <w:u w:val="single"/>
        </w:rPr>
      </w:pPr>
      <w:r w:rsidRPr="00E04F2D">
        <w:rPr>
          <w:rFonts w:ascii="Arial" w:hAnsi="Arial" w:cs="Arial"/>
          <w:sz w:val="24"/>
          <w:szCs w:val="24"/>
          <w:u w:val="single"/>
        </w:rPr>
        <w:t xml:space="preserve">Averías </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Número de averías por cada 100 circuitos y mes.</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Número de averías por cada 100 circuitos y mes imputables a Telefónica.</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Tiempo medio total de reparación de averías (horas).</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Porcentaje del total de averías con tiempo total superior a 24 horas.</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Porcentaje del total de averías con tiempo efectivo superior a 24 horas.</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Porcentaje del total de averías con tiempo total superior a 48 horas</w:t>
      </w:r>
    </w:p>
    <w:p w:rsidR="00E04F2D" w:rsidRPr="00E04F2D" w:rsidRDefault="00E04F2D" w:rsidP="006657B0">
      <w:pPr>
        <w:numPr>
          <w:ilvl w:val="0"/>
          <w:numId w:val="72"/>
        </w:numPr>
        <w:spacing w:before="60" w:after="60"/>
        <w:ind w:hanging="357"/>
        <w:rPr>
          <w:rFonts w:ascii="Arial" w:hAnsi="Arial" w:cs="Arial"/>
          <w:sz w:val="24"/>
          <w:szCs w:val="24"/>
        </w:rPr>
      </w:pPr>
      <w:r w:rsidRPr="00E04F2D">
        <w:rPr>
          <w:rFonts w:ascii="Arial" w:hAnsi="Arial" w:cs="Arial"/>
          <w:sz w:val="24"/>
          <w:szCs w:val="24"/>
        </w:rPr>
        <w:t>Porcentaje del total de averías con tiempo efectivo superior a 48 horas</w:t>
      </w:r>
    </w:p>
    <w:p w:rsidR="001846AA" w:rsidRPr="00D36A25" w:rsidRDefault="001846AA" w:rsidP="00AF32C8">
      <w:pPr>
        <w:pStyle w:val="EstiloTtulo3"/>
      </w:pPr>
      <w:bookmarkStart w:id="83" w:name="_Toc444784479"/>
      <w:r w:rsidRPr="00D36A25">
        <w:t>Servicios premium</w:t>
      </w:r>
      <w:bookmarkEnd w:id="83"/>
    </w:p>
    <w:p w:rsidR="00D36A25" w:rsidRDefault="001846AA" w:rsidP="006657B0">
      <w:pPr>
        <w:spacing w:before="60" w:after="60"/>
        <w:ind w:left="709"/>
        <w:rPr>
          <w:rFonts w:ascii="Arial" w:hAnsi="Arial" w:cs="Arial"/>
          <w:sz w:val="24"/>
          <w:szCs w:val="24"/>
        </w:rPr>
      </w:pPr>
      <w:r w:rsidRPr="00D36A25">
        <w:rPr>
          <w:rFonts w:ascii="Arial" w:hAnsi="Arial" w:cs="Arial"/>
          <w:sz w:val="24"/>
          <w:szCs w:val="24"/>
        </w:rPr>
        <w:t>Como extensión a los plazos definidos para la resolución de incidencias por averías, los</w:t>
      </w:r>
      <w:r w:rsidR="00D36A25">
        <w:rPr>
          <w:rFonts w:ascii="Arial" w:hAnsi="Arial" w:cs="Arial"/>
          <w:sz w:val="24"/>
          <w:szCs w:val="24"/>
        </w:rPr>
        <w:t xml:space="preserve"> </w:t>
      </w:r>
      <w:r w:rsidRPr="00D36A25">
        <w:rPr>
          <w:rFonts w:ascii="Arial" w:hAnsi="Arial" w:cs="Arial"/>
          <w:sz w:val="24"/>
          <w:szCs w:val="24"/>
        </w:rPr>
        <w:t>operadores podrán solicitar la prestación de un servicio de mantenimiento similar al que presta</w:t>
      </w:r>
      <w:r w:rsidR="00D36A25">
        <w:rPr>
          <w:rFonts w:ascii="Arial" w:hAnsi="Arial" w:cs="Arial"/>
          <w:sz w:val="24"/>
          <w:szCs w:val="24"/>
        </w:rPr>
        <w:t xml:space="preserve"> </w:t>
      </w:r>
      <w:r w:rsidRPr="00D36A25">
        <w:rPr>
          <w:rFonts w:ascii="Arial" w:hAnsi="Arial" w:cs="Arial"/>
          <w:sz w:val="24"/>
          <w:szCs w:val="24"/>
        </w:rPr>
        <w:t>Telefónica a nivel minorista</w:t>
      </w:r>
      <w:r w:rsidR="00FA072E">
        <w:rPr>
          <w:rFonts w:ascii="Arial" w:hAnsi="Arial" w:cs="Arial"/>
          <w:sz w:val="24"/>
          <w:szCs w:val="24"/>
        </w:rPr>
        <w:t xml:space="preserve"> para conexiones de cobre y fibra</w:t>
      </w:r>
      <w:r w:rsidRPr="00D36A25">
        <w:rPr>
          <w:rFonts w:ascii="Arial" w:hAnsi="Arial" w:cs="Arial"/>
          <w:sz w:val="24"/>
          <w:szCs w:val="24"/>
        </w:rPr>
        <w:t>.</w:t>
      </w:r>
    </w:p>
    <w:p w:rsidR="001846AA" w:rsidRPr="00D36A25" w:rsidRDefault="001846AA" w:rsidP="006657B0">
      <w:pPr>
        <w:spacing w:before="60" w:after="60"/>
        <w:ind w:left="709"/>
        <w:rPr>
          <w:rFonts w:ascii="Arial" w:hAnsi="Arial" w:cs="Arial"/>
          <w:sz w:val="24"/>
          <w:szCs w:val="24"/>
        </w:rPr>
      </w:pPr>
      <w:r w:rsidRPr="00D36A25">
        <w:rPr>
          <w:rFonts w:ascii="Arial" w:hAnsi="Arial" w:cs="Arial"/>
          <w:sz w:val="24"/>
          <w:szCs w:val="24"/>
        </w:rPr>
        <w:t>Las condiciones generales estarán basadas en las ya existentes para el propio servicio prestado</w:t>
      </w:r>
      <w:r w:rsidR="00D36A25">
        <w:rPr>
          <w:rFonts w:ascii="Arial" w:hAnsi="Arial" w:cs="Arial"/>
          <w:sz w:val="24"/>
          <w:szCs w:val="24"/>
        </w:rPr>
        <w:t xml:space="preserve"> </w:t>
      </w:r>
      <w:r w:rsidRPr="00D36A25">
        <w:rPr>
          <w:rFonts w:ascii="Arial" w:hAnsi="Arial" w:cs="Arial"/>
          <w:sz w:val="24"/>
          <w:szCs w:val="24"/>
        </w:rPr>
        <w:t>por Telefónica a nivel minorista. Tanto los plazos como el c</w:t>
      </w:r>
      <w:r w:rsidR="00CF42C5">
        <w:rPr>
          <w:rFonts w:ascii="Arial" w:hAnsi="Arial" w:cs="Arial"/>
          <w:sz w:val="24"/>
          <w:szCs w:val="24"/>
        </w:rPr>
        <w:t>ó</w:t>
      </w:r>
      <w:r w:rsidRPr="00D36A25">
        <w:rPr>
          <w:rFonts w:ascii="Arial" w:hAnsi="Arial" w:cs="Arial"/>
          <w:sz w:val="24"/>
          <w:szCs w:val="24"/>
        </w:rPr>
        <w:t>mputo de los mismos se ceñirán a</w:t>
      </w:r>
      <w:r w:rsidR="00D36A25">
        <w:rPr>
          <w:rFonts w:ascii="Arial" w:hAnsi="Arial" w:cs="Arial"/>
          <w:sz w:val="24"/>
          <w:szCs w:val="24"/>
        </w:rPr>
        <w:t xml:space="preserve"> </w:t>
      </w:r>
      <w:r w:rsidRPr="00D36A25">
        <w:rPr>
          <w:rFonts w:ascii="Arial" w:hAnsi="Arial" w:cs="Arial"/>
          <w:sz w:val="24"/>
          <w:szCs w:val="24"/>
        </w:rPr>
        <w:t>lo definido en el servicio minorista. La garantía de este servicio no es absoluta, sino que su</w:t>
      </w:r>
      <w:r w:rsidR="00D36A25">
        <w:rPr>
          <w:rFonts w:ascii="Arial" w:hAnsi="Arial" w:cs="Arial"/>
          <w:sz w:val="24"/>
          <w:szCs w:val="24"/>
        </w:rPr>
        <w:t xml:space="preserve"> </w:t>
      </w:r>
      <w:r w:rsidRPr="00D36A25">
        <w:rPr>
          <w:rFonts w:ascii="Arial" w:hAnsi="Arial" w:cs="Arial"/>
          <w:sz w:val="24"/>
          <w:szCs w:val="24"/>
        </w:rPr>
        <w:t>incumplimiento supone el pago de una penalización que será equivalente a la establecida para</w:t>
      </w:r>
      <w:r w:rsidR="00D36A25">
        <w:rPr>
          <w:rFonts w:ascii="Arial" w:hAnsi="Arial" w:cs="Arial"/>
          <w:sz w:val="24"/>
          <w:szCs w:val="24"/>
        </w:rPr>
        <w:t xml:space="preserve"> </w:t>
      </w:r>
      <w:r w:rsidRPr="00D36A25">
        <w:rPr>
          <w:rFonts w:ascii="Arial" w:hAnsi="Arial" w:cs="Arial"/>
          <w:sz w:val="24"/>
          <w:szCs w:val="24"/>
        </w:rPr>
        <w:t>la reparación de incidencias por averías.</w:t>
      </w:r>
    </w:p>
    <w:p w:rsidR="00D36A25" w:rsidRDefault="001846AA" w:rsidP="006657B0">
      <w:pPr>
        <w:spacing w:before="60" w:after="60"/>
        <w:ind w:left="709"/>
        <w:rPr>
          <w:rFonts w:ascii="Arial" w:hAnsi="Arial" w:cs="Arial"/>
          <w:sz w:val="24"/>
          <w:szCs w:val="24"/>
        </w:rPr>
      </w:pPr>
      <w:r w:rsidRPr="00D36A25">
        <w:rPr>
          <w:rFonts w:ascii="Arial" w:hAnsi="Arial" w:cs="Arial"/>
          <w:sz w:val="24"/>
          <w:szCs w:val="24"/>
        </w:rPr>
        <w:t>Existen tres niveles de compromiso para este tipo de servicio de mantenimiento mayorista de</w:t>
      </w:r>
      <w:r w:rsidR="00D36A25">
        <w:rPr>
          <w:rFonts w:ascii="Arial" w:hAnsi="Arial" w:cs="Arial"/>
          <w:sz w:val="24"/>
          <w:szCs w:val="24"/>
        </w:rPr>
        <w:t xml:space="preserve"> </w:t>
      </w:r>
      <w:r w:rsidRPr="00D36A25">
        <w:rPr>
          <w:rFonts w:ascii="Arial" w:hAnsi="Arial" w:cs="Arial"/>
          <w:sz w:val="24"/>
          <w:szCs w:val="24"/>
        </w:rPr>
        <w:t>conectividad según el plazo garantizado para la resolución de la avería. Estos plazos podrán ser</w:t>
      </w:r>
      <w:r w:rsidR="00D36A25">
        <w:rPr>
          <w:rFonts w:ascii="Arial" w:hAnsi="Arial" w:cs="Arial"/>
          <w:sz w:val="24"/>
          <w:szCs w:val="24"/>
        </w:rPr>
        <w:t xml:space="preserve"> </w:t>
      </w:r>
      <w:r w:rsidRPr="00D36A25">
        <w:rPr>
          <w:rFonts w:ascii="Arial" w:hAnsi="Arial" w:cs="Arial"/>
          <w:sz w:val="24"/>
          <w:szCs w:val="24"/>
        </w:rPr>
        <w:t>de 12, 8 y 6 horas hábiles</w:t>
      </w:r>
      <w:r w:rsidR="00FA072E">
        <w:rPr>
          <w:rFonts w:ascii="Arial" w:hAnsi="Arial" w:cs="Arial"/>
          <w:sz w:val="24"/>
          <w:szCs w:val="24"/>
        </w:rPr>
        <w:t xml:space="preserve"> en el caso de conexiones de cobre</w:t>
      </w:r>
      <w:r w:rsidRPr="00D36A25">
        <w:rPr>
          <w:rFonts w:ascii="Arial" w:hAnsi="Arial" w:cs="Arial"/>
          <w:sz w:val="24"/>
          <w:szCs w:val="24"/>
        </w:rPr>
        <w:t>.</w:t>
      </w:r>
      <w:r w:rsidR="00447266">
        <w:rPr>
          <w:rFonts w:ascii="Arial" w:hAnsi="Arial" w:cs="Arial"/>
          <w:sz w:val="24"/>
          <w:szCs w:val="24"/>
        </w:rPr>
        <w:t xml:space="preserve"> Para conexiones FTTH, Telefónica ofrece actualmente </w:t>
      </w:r>
      <w:r w:rsidR="00955511">
        <w:rPr>
          <w:rFonts w:ascii="Arial" w:hAnsi="Arial" w:cs="Arial"/>
          <w:sz w:val="24"/>
          <w:szCs w:val="24"/>
        </w:rPr>
        <w:t>el servicio de</w:t>
      </w:r>
      <w:r w:rsidR="00447266">
        <w:rPr>
          <w:rFonts w:ascii="Arial" w:hAnsi="Arial" w:cs="Arial"/>
          <w:sz w:val="24"/>
          <w:szCs w:val="24"/>
        </w:rPr>
        <w:t xml:space="preserve"> “Mantenimiento Integral Fibra (MIF)”</w:t>
      </w:r>
      <w:r w:rsidR="00955511">
        <w:rPr>
          <w:rFonts w:ascii="Arial" w:hAnsi="Arial" w:cs="Arial"/>
          <w:sz w:val="24"/>
          <w:szCs w:val="24"/>
        </w:rPr>
        <w:t xml:space="preserve"> que mejora el plazo regulado de resolución de averías en accesos de NEBA fibra</w:t>
      </w:r>
      <w:r w:rsidR="00447266">
        <w:rPr>
          <w:rFonts w:ascii="Arial" w:hAnsi="Arial" w:cs="Arial"/>
          <w:sz w:val="24"/>
          <w:szCs w:val="24"/>
        </w:rPr>
        <w:t>.</w:t>
      </w:r>
      <w:r w:rsidRPr="00D36A25">
        <w:rPr>
          <w:rFonts w:ascii="Arial" w:hAnsi="Arial" w:cs="Arial"/>
          <w:sz w:val="24"/>
          <w:szCs w:val="24"/>
        </w:rPr>
        <w:t xml:space="preserve"> </w:t>
      </w:r>
    </w:p>
    <w:p w:rsidR="00D36A25" w:rsidRDefault="001846AA" w:rsidP="006657B0">
      <w:pPr>
        <w:spacing w:before="60" w:after="60"/>
        <w:ind w:left="709"/>
        <w:rPr>
          <w:rFonts w:ascii="Arial" w:hAnsi="Arial" w:cs="Arial"/>
          <w:sz w:val="24"/>
          <w:szCs w:val="24"/>
        </w:rPr>
      </w:pPr>
      <w:r w:rsidRPr="00D36A25">
        <w:rPr>
          <w:rFonts w:ascii="Arial" w:hAnsi="Arial" w:cs="Arial"/>
          <w:sz w:val="24"/>
          <w:szCs w:val="24"/>
        </w:rPr>
        <w:t>Las horas se computarán de lunes a viernes no festivos desde las 8</w:t>
      </w:r>
      <w:r w:rsidR="00D36A25">
        <w:rPr>
          <w:rFonts w:ascii="Arial" w:hAnsi="Arial" w:cs="Arial"/>
          <w:sz w:val="24"/>
          <w:szCs w:val="24"/>
        </w:rPr>
        <w:t xml:space="preserve"> </w:t>
      </w:r>
      <w:r w:rsidRPr="00D36A25">
        <w:rPr>
          <w:rFonts w:ascii="Arial" w:hAnsi="Arial" w:cs="Arial"/>
          <w:sz w:val="24"/>
          <w:szCs w:val="24"/>
        </w:rPr>
        <w:t>hasta las 20 horas, y los sábados desde las 8 hasta las 15 horas.</w:t>
      </w:r>
    </w:p>
    <w:p w:rsidR="00E02C27" w:rsidRPr="006657B0" w:rsidRDefault="00E02C27" w:rsidP="00D36A25">
      <w:pPr>
        <w:spacing w:before="240" w:after="60"/>
        <w:ind w:left="709"/>
        <w:rPr>
          <w:rFonts w:ascii="Arial" w:hAnsi="Arial" w:cs="Arial"/>
          <w:sz w:val="16"/>
          <w:szCs w:val="16"/>
        </w:rPr>
      </w:pPr>
    </w:p>
    <w:p w:rsidR="00E02C27" w:rsidRDefault="00E02C27" w:rsidP="006B5381">
      <w:pPr>
        <w:pStyle w:val="EstiloTitulo2"/>
      </w:pPr>
      <w:bookmarkStart w:id="84" w:name="_Ref263869123"/>
      <w:bookmarkStart w:id="85" w:name="_Toc444784480"/>
      <w:r>
        <w:t>Parámetros de QoS para cada clase de servicio</w:t>
      </w:r>
      <w:bookmarkEnd w:id="84"/>
      <w:bookmarkEnd w:id="85"/>
    </w:p>
    <w:p w:rsidR="00E02C27" w:rsidRPr="006657B0" w:rsidRDefault="00E02C27">
      <w:pPr>
        <w:ind w:left="1418" w:hanging="545"/>
        <w:rPr>
          <w:rFonts w:ascii="Arial" w:hAnsi="Arial" w:cs="Arial"/>
          <w:sz w:val="16"/>
          <w:szCs w:val="16"/>
        </w:rPr>
      </w:pPr>
    </w:p>
    <w:p w:rsidR="00925D2F" w:rsidRDefault="00925D2F" w:rsidP="00AF32C8">
      <w:pPr>
        <w:pStyle w:val="EstiloTtulo3"/>
      </w:pPr>
      <w:bookmarkStart w:id="86" w:name="_Toc444784481"/>
      <w:r>
        <w:t>Pérdida de información</w:t>
      </w:r>
      <w:bookmarkEnd w:id="86"/>
    </w:p>
    <w:p w:rsidR="00925D2F" w:rsidRPr="00925D2F" w:rsidRDefault="00925D2F" w:rsidP="006657B0">
      <w:pPr>
        <w:spacing w:before="60" w:after="60"/>
        <w:ind w:left="709"/>
        <w:rPr>
          <w:rFonts w:ascii="Arial" w:hAnsi="Arial" w:cs="Arial"/>
          <w:sz w:val="24"/>
          <w:szCs w:val="24"/>
        </w:rPr>
      </w:pPr>
      <w:r w:rsidRPr="00925D2F">
        <w:rPr>
          <w:rFonts w:ascii="Arial" w:hAnsi="Arial" w:cs="Arial"/>
          <w:sz w:val="24"/>
          <w:szCs w:val="24"/>
        </w:rPr>
        <w:t xml:space="preserve">Se define la pérdida de tramas como el ratio expresado en porcentaje sobre un periodo de tiempo definido, del número de tramas no entregadas dividido entre el número de tramas que debían haber sido entregadas. </w:t>
      </w:r>
    </w:p>
    <w:p w:rsidR="00925D2F" w:rsidRPr="00925D2F" w:rsidRDefault="00925D2F" w:rsidP="00CF42C5">
      <w:pPr>
        <w:spacing w:before="60" w:after="60"/>
        <w:ind w:left="709"/>
        <w:rPr>
          <w:rFonts w:ascii="Arial" w:hAnsi="Arial" w:cs="Arial"/>
          <w:sz w:val="24"/>
          <w:szCs w:val="24"/>
        </w:rPr>
      </w:pPr>
      <w:r w:rsidRPr="00925D2F">
        <w:rPr>
          <w:rFonts w:ascii="Arial" w:hAnsi="Arial" w:cs="Arial"/>
          <w:sz w:val="24"/>
          <w:szCs w:val="24"/>
        </w:rPr>
        <w:t>Cada calidad de servicio tendrá asociados unos valores máximos d</w:t>
      </w:r>
      <w:r w:rsidR="002206E5">
        <w:rPr>
          <w:rFonts w:ascii="Arial" w:hAnsi="Arial" w:cs="Arial"/>
          <w:sz w:val="24"/>
          <w:szCs w:val="24"/>
        </w:rPr>
        <w:t>e pérdida de tramas:</w:t>
      </w:r>
    </w:p>
    <w:p w:rsidR="00925D2F" w:rsidRPr="00317E98" w:rsidRDefault="00925D2F" w:rsidP="00925D2F">
      <w:pPr>
        <w:pStyle w:val="CMTtextobase"/>
        <w:spacing w:after="0" w:line="240" w:lineRule="auto"/>
        <w:rPr>
          <w:lang w:val="es-ES_tradnl"/>
        </w:rPr>
      </w:pP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828"/>
        <w:gridCol w:w="4110"/>
      </w:tblGrid>
      <w:tr w:rsidR="002206E5" w:rsidRPr="00317E98" w:rsidTr="002206E5">
        <w:tc>
          <w:tcPr>
            <w:tcW w:w="1559" w:type="dxa"/>
            <w:vAlign w:val="center"/>
          </w:tcPr>
          <w:p w:rsidR="002206E5" w:rsidRPr="00317E98" w:rsidRDefault="002206E5" w:rsidP="008A49DD">
            <w:pPr>
              <w:pStyle w:val="CMTtextobase"/>
              <w:keepNext/>
              <w:spacing w:after="0"/>
              <w:rPr>
                <w:lang w:val="es-ES_tradnl"/>
              </w:rPr>
            </w:pPr>
          </w:p>
        </w:tc>
        <w:tc>
          <w:tcPr>
            <w:tcW w:w="3828" w:type="dxa"/>
            <w:vAlign w:val="center"/>
          </w:tcPr>
          <w:p w:rsidR="002206E5" w:rsidRDefault="002206E5" w:rsidP="008A49DD">
            <w:pPr>
              <w:pStyle w:val="CMTtextobase"/>
              <w:keepNext/>
              <w:spacing w:after="0"/>
              <w:jc w:val="center"/>
              <w:rPr>
                <w:lang w:val="es-ES_tradnl"/>
              </w:rPr>
            </w:pPr>
            <w:r w:rsidRPr="00317E98">
              <w:rPr>
                <w:lang w:val="es-ES_tradnl"/>
              </w:rPr>
              <w:t>Valor máximo de pérdida de tramas</w:t>
            </w:r>
          </w:p>
          <w:p w:rsidR="002206E5" w:rsidRPr="00317E98" w:rsidRDefault="002206E5" w:rsidP="008A49DD">
            <w:pPr>
              <w:pStyle w:val="CMTtextobase"/>
              <w:keepNext/>
              <w:spacing w:after="0"/>
              <w:jc w:val="center"/>
              <w:rPr>
                <w:lang w:val="es-ES_tradnl"/>
              </w:rPr>
            </w:pPr>
            <w:r>
              <w:rPr>
                <w:lang w:val="es-ES_tradnl"/>
              </w:rPr>
              <w:t>ADSL2+</w:t>
            </w:r>
          </w:p>
        </w:tc>
        <w:tc>
          <w:tcPr>
            <w:tcW w:w="4110" w:type="dxa"/>
            <w:tcBorders>
              <w:bottom w:val="single" w:sz="4" w:space="0" w:color="auto"/>
            </w:tcBorders>
            <w:vAlign w:val="center"/>
          </w:tcPr>
          <w:p w:rsidR="002206E5" w:rsidRPr="00317E98" w:rsidRDefault="002206E5" w:rsidP="008A49DD">
            <w:pPr>
              <w:pStyle w:val="CMTtextobase"/>
              <w:keepNext/>
              <w:spacing w:after="0"/>
              <w:jc w:val="center"/>
              <w:rPr>
                <w:lang w:val="es-ES_tradnl"/>
              </w:rPr>
            </w:pPr>
            <w:r w:rsidRPr="00317E98">
              <w:rPr>
                <w:lang w:val="es-ES_tradnl"/>
              </w:rPr>
              <w:t>Valor máximo de pérdida de tramas</w:t>
            </w:r>
            <w:r>
              <w:rPr>
                <w:lang w:val="es-ES_tradnl"/>
              </w:rPr>
              <w:t xml:space="preserve"> VDSL2/GPON</w:t>
            </w:r>
          </w:p>
        </w:tc>
      </w:tr>
      <w:tr w:rsidR="002206E5" w:rsidRPr="00317E98" w:rsidTr="002206E5">
        <w:tc>
          <w:tcPr>
            <w:tcW w:w="1559" w:type="dxa"/>
            <w:vAlign w:val="center"/>
          </w:tcPr>
          <w:p w:rsidR="002206E5" w:rsidRPr="00317E98" w:rsidRDefault="002206E5" w:rsidP="008A49DD">
            <w:pPr>
              <w:pStyle w:val="CMTtextobase"/>
              <w:keepNext/>
              <w:spacing w:after="0"/>
              <w:rPr>
                <w:lang w:val="es-ES_tradnl"/>
              </w:rPr>
            </w:pPr>
            <w:r w:rsidRPr="00317E98">
              <w:rPr>
                <w:lang w:val="es-ES_tradnl"/>
              </w:rPr>
              <w:t>QoS BE</w:t>
            </w:r>
          </w:p>
        </w:tc>
        <w:tc>
          <w:tcPr>
            <w:tcW w:w="3828" w:type="dxa"/>
            <w:shd w:val="clear" w:color="auto" w:fill="FFFF99"/>
            <w:vAlign w:val="center"/>
          </w:tcPr>
          <w:p w:rsidR="002206E5" w:rsidRPr="00317E98" w:rsidRDefault="002206E5" w:rsidP="008A49DD">
            <w:pPr>
              <w:pStyle w:val="CMTtextobase"/>
              <w:keepNext/>
              <w:spacing w:after="0"/>
              <w:jc w:val="center"/>
              <w:rPr>
                <w:lang w:val="es-ES_tradnl"/>
              </w:rPr>
            </w:pPr>
            <w:r w:rsidRPr="00317E98">
              <w:rPr>
                <w:lang w:val="es-ES_tradnl"/>
              </w:rPr>
              <w:t>0,8%</w:t>
            </w:r>
          </w:p>
        </w:tc>
        <w:tc>
          <w:tcPr>
            <w:tcW w:w="4110" w:type="dxa"/>
            <w:shd w:val="clear" w:color="auto" w:fill="FFFF99"/>
            <w:vAlign w:val="center"/>
          </w:tcPr>
          <w:p w:rsidR="002206E5" w:rsidRPr="00317E98" w:rsidRDefault="002206E5" w:rsidP="008A49DD">
            <w:pPr>
              <w:pStyle w:val="CMTtextobase"/>
              <w:keepNext/>
              <w:spacing w:after="0"/>
              <w:jc w:val="center"/>
              <w:rPr>
                <w:lang w:val="es-ES_tradnl"/>
              </w:rPr>
            </w:pPr>
            <w:r w:rsidRPr="00317E98">
              <w:rPr>
                <w:lang w:val="es-ES_tradnl"/>
              </w:rPr>
              <w:t>0,8%</w:t>
            </w:r>
          </w:p>
        </w:tc>
      </w:tr>
      <w:tr w:rsidR="002206E5" w:rsidRPr="00317E98" w:rsidTr="002206E5">
        <w:tc>
          <w:tcPr>
            <w:tcW w:w="1559" w:type="dxa"/>
            <w:vAlign w:val="center"/>
          </w:tcPr>
          <w:p w:rsidR="002206E5" w:rsidRPr="00317E98" w:rsidRDefault="002206E5" w:rsidP="008A49DD">
            <w:pPr>
              <w:pStyle w:val="CMTtextobase"/>
              <w:spacing w:after="0"/>
              <w:rPr>
                <w:lang w:val="es-ES_tradnl"/>
              </w:rPr>
            </w:pPr>
            <w:r w:rsidRPr="00317E98">
              <w:rPr>
                <w:lang w:val="es-ES_tradnl"/>
              </w:rPr>
              <w:t>QoS ORO</w:t>
            </w:r>
          </w:p>
        </w:tc>
        <w:tc>
          <w:tcPr>
            <w:tcW w:w="3828" w:type="dxa"/>
            <w:shd w:val="clear" w:color="auto" w:fill="FFFF99"/>
            <w:vAlign w:val="center"/>
          </w:tcPr>
          <w:p w:rsidR="002206E5" w:rsidRPr="00317E98" w:rsidRDefault="002206E5" w:rsidP="008A49DD">
            <w:pPr>
              <w:pStyle w:val="CMTtextobase"/>
              <w:spacing w:after="0"/>
              <w:jc w:val="center"/>
              <w:rPr>
                <w:lang w:val="es-ES_tradnl"/>
              </w:rPr>
            </w:pPr>
            <w:r w:rsidRPr="00317E98">
              <w:rPr>
                <w:lang w:val="es-ES_tradnl"/>
              </w:rPr>
              <w:t>0,4%</w:t>
            </w:r>
          </w:p>
        </w:tc>
        <w:tc>
          <w:tcPr>
            <w:tcW w:w="4110" w:type="dxa"/>
            <w:shd w:val="clear" w:color="auto" w:fill="FFFF99"/>
            <w:vAlign w:val="center"/>
          </w:tcPr>
          <w:p w:rsidR="002206E5" w:rsidRPr="00317E98" w:rsidRDefault="002206E5" w:rsidP="008A49DD">
            <w:pPr>
              <w:pStyle w:val="CMTtextobase"/>
              <w:spacing w:after="0"/>
              <w:jc w:val="center"/>
              <w:rPr>
                <w:lang w:val="es-ES_tradnl"/>
              </w:rPr>
            </w:pPr>
            <w:r w:rsidRPr="00317E98">
              <w:rPr>
                <w:lang w:val="es-ES_tradnl"/>
              </w:rPr>
              <w:t>0,4%</w:t>
            </w:r>
          </w:p>
        </w:tc>
      </w:tr>
      <w:tr w:rsidR="002206E5" w:rsidRPr="00317E98" w:rsidTr="002206E5">
        <w:tc>
          <w:tcPr>
            <w:tcW w:w="1559" w:type="dxa"/>
            <w:vAlign w:val="center"/>
          </w:tcPr>
          <w:p w:rsidR="002206E5" w:rsidRPr="00317E98" w:rsidRDefault="002206E5" w:rsidP="008A49DD">
            <w:pPr>
              <w:pStyle w:val="CMTtextobase"/>
              <w:spacing w:after="0"/>
              <w:rPr>
                <w:lang w:val="es-ES_tradnl"/>
              </w:rPr>
            </w:pPr>
            <w:r w:rsidRPr="00317E98">
              <w:rPr>
                <w:lang w:val="es-ES_tradnl"/>
              </w:rPr>
              <w:t>QoS RT</w:t>
            </w:r>
          </w:p>
        </w:tc>
        <w:tc>
          <w:tcPr>
            <w:tcW w:w="3828" w:type="dxa"/>
            <w:shd w:val="clear" w:color="auto" w:fill="FFFF99"/>
            <w:vAlign w:val="center"/>
          </w:tcPr>
          <w:p w:rsidR="002206E5" w:rsidRPr="00317E98" w:rsidRDefault="002206E5" w:rsidP="008A49DD">
            <w:pPr>
              <w:pStyle w:val="CMTtextobase"/>
              <w:spacing w:after="0"/>
              <w:jc w:val="center"/>
              <w:rPr>
                <w:lang w:val="es-ES_tradnl"/>
              </w:rPr>
            </w:pPr>
            <w:r w:rsidRPr="00317E98">
              <w:rPr>
                <w:lang w:val="es-ES_tradnl"/>
              </w:rPr>
              <w:t>0,</w:t>
            </w:r>
            <w:r w:rsidR="00D26D5B">
              <w:rPr>
                <w:lang w:val="es-ES_tradnl"/>
              </w:rPr>
              <w:t>0</w:t>
            </w:r>
            <w:r w:rsidRPr="00317E98">
              <w:rPr>
                <w:lang w:val="es-ES_tradnl"/>
              </w:rPr>
              <w:t>2%</w:t>
            </w:r>
          </w:p>
        </w:tc>
        <w:tc>
          <w:tcPr>
            <w:tcW w:w="4110" w:type="dxa"/>
            <w:shd w:val="clear" w:color="auto" w:fill="FFFF99"/>
            <w:vAlign w:val="center"/>
          </w:tcPr>
          <w:p w:rsidR="002206E5" w:rsidRPr="00317E98" w:rsidRDefault="002206E5" w:rsidP="008A49DD">
            <w:pPr>
              <w:pStyle w:val="CMTtextobase"/>
              <w:spacing w:after="0"/>
              <w:jc w:val="center"/>
              <w:rPr>
                <w:lang w:val="es-ES_tradnl"/>
              </w:rPr>
            </w:pPr>
            <w:r w:rsidRPr="00317E98">
              <w:rPr>
                <w:lang w:val="es-ES_tradnl"/>
              </w:rPr>
              <w:t>0,</w:t>
            </w:r>
            <w:r w:rsidR="00D26D5B">
              <w:rPr>
                <w:lang w:val="es-ES_tradnl"/>
              </w:rPr>
              <w:t>0</w:t>
            </w:r>
            <w:r w:rsidRPr="00317E98">
              <w:rPr>
                <w:lang w:val="es-ES_tradnl"/>
              </w:rPr>
              <w:t>2%</w:t>
            </w:r>
          </w:p>
        </w:tc>
      </w:tr>
    </w:tbl>
    <w:p w:rsidR="00925D2F" w:rsidRPr="00317E98" w:rsidRDefault="00925D2F" w:rsidP="00925D2F">
      <w:pPr>
        <w:pStyle w:val="CMTtextobase"/>
        <w:spacing w:after="0"/>
        <w:rPr>
          <w:lang w:val="es-ES_tradnl"/>
        </w:rPr>
      </w:pPr>
    </w:p>
    <w:p w:rsidR="00925D2F" w:rsidRPr="00925D2F" w:rsidRDefault="00925D2F" w:rsidP="002206E5">
      <w:pPr>
        <w:spacing w:before="240" w:after="60"/>
        <w:ind w:left="709"/>
        <w:rPr>
          <w:rFonts w:ascii="Arial" w:hAnsi="Arial" w:cs="Arial"/>
          <w:sz w:val="24"/>
          <w:szCs w:val="24"/>
        </w:rPr>
      </w:pPr>
      <w:r>
        <w:rPr>
          <w:rFonts w:ascii="Arial" w:hAnsi="Arial" w:cs="Arial"/>
          <w:sz w:val="24"/>
          <w:szCs w:val="24"/>
        </w:rPr>
        <w:t>L</w:t>
      </w:r>
      <w:r w:rsidRPr="00925D2F">
        <w:rPr>
          <w:rFonts w:ascii="Arial" w:hAnsi="Arial" w:cs="Arial"/>
          <w:sz w:val="24"/>
          <w:szCs w:val="24"/>
        </w:rPr>
        <w:t xml:space="preserve">os valores previos deben entenderse dentro del siguiente contexto: </w:t>
      </w:r>
    </w:p>
    <w:p w:rsidR="00925D2F" w:rsidRPr="00925D2F" w:rsidRDefault="00925D2F" w:rsidP="006657B0">
      <w:pPr>
        <w:numPr>
          <w:ilvl w:val="0"/>
          <w:numId w:val="70"/>
        </w:numPr>
        <w:spacing w:before="120" w:after="60"/>
        <w:ind w:hanging="357"/>
        <w:rPr>
          <w:rFonts w:ascii="Arial" w:hAnsi="Arial" w:cs="Arial"/>
          <w:sz w:val="24"/>
          <w:szCs w:val="24"/>
        </w:rPr>
      </w:pPr>
      <w:r w:rsidRPr="00925D2F">
        <w:rPr>
          <w:rFonts w:ascii="Arial" w:hAnsi="Arial" w:cs="Arial"/>
          <w:sz w:val="24"/>
          <w:szCs w:val="24"/>
        </w:rPr>
        <w:t xml:space="preserve">La pérdida de tramas se medirá desde el equipo de cliente hasta el punto de entrega al operador </w:t>
      </w:r>
      <w:r w:rsidR="00CF42C5">
        <w:rPr>
          <w:rFonts w:ascii="Arial" w:hAnsi="Arial" w:cs="Arial"/>
          <w:sz w:val="24"/>
          <w:szCs w:val="24"/>
        </w:rPr>
        <w:t xml:space="preserve">o </w:t>
      </w:r>
      <w:r w:rsidRPr="00925D2F">
        <w:rPr>
          <w:rFonts w:ascii="Arial" w:hAnsi="Arial" w:cs="Arial"/>
          <w:sz w:val="24"/>
          <w:szCs w:val="24"/>
        </w:rPr>
        <w:t xml:space="preserve">pPAI. </w:t>
      </w:r>
    </w:p>
    <w:p w:rsidR="00925D2F" w:rsidRPr="00925D2F" w:rsidRDefault="00925D2F" w:rsidP="006657B0">
      <w:pPr>
        <w:numPr>
          <w:ilvl w:val="0"/>
          <w:numId w:val="70"/>
        </w:numPr>
        <w:spacing w:before="120" w:after="60"/>
        <w:ind w:hanging="357"/>
        <w:rPr>
          <w:rFonts w:ascii="Arial" w:hAnsi="Arial" w:cs="Arial"/>
          <w:sz w:val="24"/>
          <w:szCs w:val="24"/>
        </w:rPr>
      </w:pPr>
      <w:r w:rsidRPr="00925D2F">
        <w:rPr>
          <w:rFonts w:ascii="Arial" w:hAnsi="Arial" w:cs="Arial"/>
          <w:sz w:val="24"/>
          <w:szCs w:val="24"/>
        </w:rPr>
        <w:t xml:space="preserve">Los valores de referencia reflejados no se garantizan durante la ejecución de tareas programadas de operación y mantenimiento de la red. </w:t>
      </w:r>
    </w:p>
    <w:p w:rsidR="00925D2F" w:rsidRPr="00925D2F" w:rsidRDefault="00925D2F" w:rsidP="006657B0">
      <w:pPr>
        <w:numPr>
          <w:ilvl w:val="0"/>
          <w:numId w:val="70"/>
        </w:numPr>
        <w:spacing w:before="120" w:after="60"/>
        <w:ind w:hanging="357"/>
        <w:rPr>
          <w:rFonts w:ascii="Arial" w:hAnsi="Arial" w:cs="Arial"/>
          <w:sz w:val="24"/>
          <w:szCs w:val="24"/>
        </w:rPr>
      </w:pPr>
      <w:r w:rsidRPr="00925D2F">
        <w:rPr>
          <w:rFonts w:ascii="Arial" w:hAnsi="Arial" w:cs="Arial"/>
          <w:sz w:val="24"/>
          <w:szCs w:val="24"/>
        </w:rPr>
        <w:t>Estos parámetros se miden considerando el 100% del tiempo salvo durante la ejecución de tareas programadas de operación y mantenimiento de la red.</w:t>
      </w:r>
    </w:p>
    <w:p w:rsidR="00925D2F" w:rsidRPr="00925D2F" w:rsidRDefault="00925D2F" w:rsidP="002206E5">
      <w:pPr>
        <w:spacing w:before="240" w:after="60"/>
        <w:ind w:left="709"/>
        <w:rPr>
          <w:rFonts w:ascii="Arial" w:hAnsi="Arial" w:cs="Arial"/>
          <w:sz w:val="24"/>
          <w:szCs w:val="24"/>
        </w:rPr>
      </w:pPr>
      <w:r w:rsidRPr="00925D2F">
        <w:rPr>
          <w:rFonts w:ascii="Arial" w:hAnsi="Arial" w:cs="Arial"/>
          <w:sz w:val="24"/>
          <w:szCs w:val="24"/>
        </w:rPr>
        <w:t>Telefónica informar</w:t>
      </w:r>
      <w:r w:rsidR="008C3B4D">
        <w:rPr>
          <w:rFonts w:ascii="Arial" w:hAnsi="Arial" w:cs="Arial"/>
          <w:sz w:val="24"/>
          <w:szCs w:val="24"/>
        </w:rPr>
        <w:t>á</w:t>
      </w:r>
      <w:r w:rsidRPr="00925D2F">
        <w:rPr>
          <w:rFonts w:ascii="Arial" w:hAnsi="Arial" w:cs="Arial"/>
          <w:sz w:val="24"/>
          <w:szCs w:val="24"/>
        </w:rPr>
        <w:t xml:space="preserve"> a los operadores de las ventanas de mantenimiento y duración de las mismas en las que vaya a proceder con tareas de operación y mantenimiento de red, para que los operadores puedan prever el impacto de las mismas. </w:t>
      </w:r>
    </w:p>
    <w:p w:rsidR="00925D2F" w:rsidRDefault="00925D2F" w:rsidP="00AF32C8">
      <w:pPr>
        <w:pStyle w:val="EstiloTtulo3"/>
      </w:pPr>
      <w:bookmarkStart w:id="87" w:name="_Toc444784482"/>
      <w:r>
        <w:t>Retardo</w:t>
      </w:r>
      <w:bookmarkEnd w:id="87"/>
    </w:p>
    <w:p w:rsidR="00621BAD" w:rsidRPr="00621BAD" w:rsidRDefault="00621BAD" w:rsidP="006657B0">
      <w:pPr>
        <w:spacing w:before="60" w:after="60"/>
        <w:ind w:left="709"/>
        <w:rPr>
          <w:rFonts w:ascii="Arial" w:hAnsi="Arial" w:cs="Arial"/>
          <w:sz w:val="24"/>
          <w:szCs w:val="24"/>
        </w:rPr>
      </w:pPr>
      <w:r w:rsidRPr="00621BAD">
        <w:rPr>
          <w:rFonts w:ascii="Arial" w:hAnsi="Arial" w:cs="Arial"/>
          <w:sz w:val="24"/>
          <w:szCs w:val="24"/>
        </w:rPr>
        <w:t xml:space="preserve">Se define como retardo el tiempo necesario para transmitir una trama desde la interfaz usuario-red (UNI) de entrada hasta la interfaz de usuario-red de salida, siendo en </w:t>
      </w:r>
      <w:r>
        <w:rPr>
          <w:rFonts w:ascii="Arial" w:hAnsi="Arial" w:cs="Arial"/>
          <w:sz w:val="24"/>
          <w:szCs w:val="24"/>
        </w:rPr>
        <w:t xml:space="preserve">NEBA estos dos puntos </w:t>
      </w:r>
      <w:r w:rsidRPr="00621BAD">
        <w:rPr>
          <w:rFonts w:ascii="Arial" w:hAnsi="Arial" w:cs="Arial"/>
          <w:sz w:val="24"/>
          <w:szCs w:val="24"/>
        </w:rPr>
        <w:t>el equipo de cliente de usuario (CPE) y el punto de entrega al operador pPAI. Los valores de retardo tienen validez siempre y cuando la trama esté dentro de los valores contratados por el operador para una determinada calidad de servicio.</w:t>
      </w:r>
    </w:p>
    <w:p w:rsidR="00621BAD" w:rsidRDefault="00621BAD" w:rsidP="006657B0">
      <w:pPr>
        <w:spacing w:before="60" w:after="60"/>
        <w:ind w:left="709"/>
        <w:rPr>
          <w:rFonts w:ascii="Arial" w:hAnsi="Arial" w:cs="Arial"/>
          <w:sz w:val="24"/>
          <w:szCs w:val="24"/>
        </w:rPr>
      </w:pPr>
      <w:r>
        <w:rPr>
          <w:rFonts w:ascii="Arial" w:hAnsi="Arial" w:cs="Arial"/>
          <w:sz w:val="24"/>
          <w:szCs w:val="24"/>
        </w:rPr>
        <w:t>Los retardos tendrán en consideración la tecnología de acceso utilizada y se especificarán para accesos ADSL2+ y por otra parte para tecnologías VDSL2/GPON</w:t>
      </w:r>
      <w:r w:rsidRPr="00621BAD">
        <w:rPr>
          <w:rFonts w:ascii="Arial" w:hAnsi="Arial" w:cs="Arial"/>
          <w:sz w:val="24"/>
          <w:szCs w:val="24"/>
        </w:rPr>
        <w:t>:</w:t>
      </w:r>
    </w:p>
    <w:p w:rsidR="00621BAD" w:rsidRPr="006657B0" w:rsidRDefault="00621BAD" w:rsidP="006657B0">
      <w:pPr>
        <w:spacing w:after="60"/>
        <w:ind w:left="431"/>
        <w:rPr>
          <w:rFonts w:ascii="Arial" w:hAnsi="Arial" w:cs="Arial"/>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3897"/>
        <w:gridCol w:w="4437"/>
      </w:tblGrid>
      <w:tr w:rsidR="00621BAD" w:rsidRPr="00317E98" w:rsidTr="002206E5">
        <w:tc>
          <w:tcPr>
            <w:tcW w:w="1270" w:type="dxa"/>
          </w:tcPr>
          <w:p w:rsidR="00621BAD" w:rsidRPr="00317E98" w:rsidRDefault="00621BAD" w:rsidP="008A49DD">
            <w:pPr>
              <w:pStyle w:val="CMTtextobase"/>
              <w:spacing w:after="0"/>
              <w:rPr>
                <w:lang w:val="es-ES_tradnl"/>
              </w:rPr>
            </w:pPr>
          </w:p>
        </w:tc>
        <w:tc>
          <w:tcPr>
            <w:tcW w:w="3897" w:type="dxa"/>
          </w:tcPr>
          <w:p w:rsidR="00621BAD" w:rsidRPr="00317E98" w:rsidRDefault="00621BAD" w:rsidP="008A49DD">
            <w:pPr>
              <w:pStyle w:val="CMTtextobase"/>
              <w:keepNext/>
              <w:spacing w:after="0"/>
              <w:jc w:val="center"/>
              <w:rPr>
                <w:lang w:val="es-ES_tradnl"/>
              </w:rPr>
            </w:pPr>
            <w:r>
              <w:rPr>
                <w:lang w:val="es-ES_tradnl"/>
              </w:rPr>
              <w:t>Retardo medio unidireccional (ADSL2+)</w:t>
            </w:r>
          </w:p>
        </w:tc>
        <w:tc>
          <w:tcPr>
            <w:tcW w:w="4437" w:type="dxa"/>
            <w:tcBorders>
              <w:bottom w:val="single" w:sz="4" w:space="0" w:color="auto"/>
            </w:tcBorders>
          </w:tcPr>
          <w:p w:rsidR="00621BAD" w:rsidRPr="00317E98" w:rsidRDefault="00621BAD" w:rsidP="008A49DD">
            <w:pPr>
              <w:pStyle w:val="CMTtextobase"/>
              <w:keepNext/>
              <w:spacing w:after="0"/>
              <w:jc w:val="center"/>
              <w:rPr>
                <w:lang w:val="es-ES_tradnl"/>
              </w:rPr>
            </w:pPr>
            <w:r w:rsidRPr="00317E98">
              <w:rPr>
                <w:lang w:val="es-ES_tradnl"/>
              </w:rPr>
              <w:t>Retardo medio unidireccional</w:t>
            </w:r>
            <w:r>
              <w:rPr>
                <w:lang w:val="es-ES_tradnl"/>
              </w:rPr>
              <w:t xml:space="preserve"> VDSL2/GPON</w:t>
            </w:r>
          </w:p>
        </w:tc>
      </w:tr>
      <w:tr w:rsidR="00621BAD" w:rsidRPr="00317E98" w:rsidTr="002206E5">
        <w:tc>
          <w:tcPr>
            <w:tcW w:w="1270" w:type="dxa"/>
          </w:tcPr>
          <w:p w:rsidR="00621BAD" w:rsidRPr="00317E98" w:rsidRDefault="00621BAD" w:rsidP="008A49DD">
            <w:pPr>
              <w:pStyle w:val="CMTtextobase"/>
              <w:spacing w:after="0"/>
              <w:rPr>
                <w:lang w:val="es-ES_tradnl"/>
              </w:rPr>
            </w:pPr>
            <w:r w:rsidRPr="00317E98">
              <w:rPr>
                <w:lang w:val="es-ES_tradnl"/>
              </w:rPr>
              <w:t>QoS BE</w:t>
            </w:r>
          </w:p>
        </w:tc>
        <w:tc>
          <w:tcPr>
            <w:tcW w:w="3897" w:type="dxa"/>
            <w:shd w:val="clear" w:color="auto" w:fill="FFFF99"/>
          </w:tcPr>
          <w:p w:rsidR="00621BAD" w:rsidRPr="00317E98" w:rsidRDefault="00621BAD" w:rsidP="008A49DD">
            <w:pPr>
              <w:pStyle w:val="CMTtextobase"/>
              <w:keepNext/>
              <w:spacing w:after="0"/>
              <w:jc w:val="center"/>
              <w:rPr>
                <w:lang w:val="es-ES_tradnl"/>
              </w:rPr>
            </w:pPr>
            <w:r>
              <w:rPr>
                <w:lang w:val="es-ES_tradnl"/>
              </w:rPr>
              <w:t>-</w:t>
            </w:r>
          </w:p>
        </w:tc>
        <w:tc>
          <w:tcPr>
            <w:tcW w:w="4437" w:type="dxa"/>
            <w:shd w:val="clear" w:color="auto" w:fill="FFFF99"/>
          </w:tcPr>
          <w:p w:rsidR="00621BAD" w:rsidRPr="00317E98" w:rsidRDefault="00621BAD" w:rsidP="008A49DD">
            <w:pPr>
              <w:pStyle w:val="CMTtextobase"/>
              <w:keepNext/>
              <w:spacing w:after="0"/>
              <w:jc w:val="center"/>
              <w:rPr>
                <w:lang w:val="es-ES_tradnl"/>
              </w:rPr>
            </w:pPr>
            <w:r w:rsidRPr="00317E98">
              <w:rPr>
                <w:lang w:val="es-ES_tradnl"/>
              </w:rPr>
              <w:t>-</w:t>
            </w:r>
          </w:p>
        </w:tc>
      </w:tr>
      <w:tr w:rsidR="00621BAD" w:rsidRPr="00317E98" w:rsidTr="002206E5">
        <w:tc>
          <w:tcPr>
            <w:tcW w:w="1270" w:type="dxa"/>
          </w:tcPr>
          <w:p w:rsidR="00621BAD" w:rsidRPr="00317E98" w:rsidRDefault="00621BAD" w:rsidP="008A49DD">
            <w:pPr>
              <w:pStyle w:val="CMTtextobase"/>
              <w:spacing w:after="0"/>
              <w:rPr>
                <w:lang w:val="es-ES_tradnl"/>
              </w:rPr>
            </w:pPr>
            <w:r w:rsidRPr="00317E98">
              <w:rPr>
                <w:lang w:val="es-ES_tradnl"/>
              </w:rPr>
              <w:t>QoS ORO</w:t>
            </w:r>
          </w:p>
        </w:tc>
        <w:tc>
          <w:tcPr>
            <w:tcW w:w="3897" w:type="dxa"/>
            <w:shd w:val="clear" w:color="auto" w:fill="FFFF99"/>
          </w:tcPr>
          <w:p w:rsidR="00621BAD" w:rsidRPr="00317E98" w:rsidRDefault="00621BAD" w:rsidP="008A49DD">
            <w:pPr>
              <w:pStyle w:val="CMTtextobase"/>
              <w:spacing w:after="0"/>
              <w:jc w:val="center"/>
              <w:rPr>
                <w:lang w:val="es-ES_tradnl"/>
              </w:rPr>
            </w:pPr>
            <w:r>
              <w:rPr>
                <w:lang w:val="es-ES_tradnl"/>
              </w:rPr>
              <w:t>66 ms</w:t>
            </w:r>
          </w:p>
        </w:tc>
        <w:tc>
          <w:tcPr>
            <w:tcW w:w="4437" w:type="dxa"/>
            <w:shd w:val="clear" w:color="auto" w:fill="FFFF99"/>
          </w:tcPr>
          <w:p w:rsidR="00621BAD" w:rsidRPr="00317E98" w:rsidRDefault="00E5075D" w:rsidP="008A49DD">
            <w:pPr>
              <w:pStyle w:val="CMTtextobase"/>
              <w:spacing w:after="0"/>
              <w:jc w:val="center"/>
              <w:rPr>
                <w:lang w:val="es-ES_tradnl"/>
              </w:rPr>
            </w:pPr>
            <w:r>
              <w:rPr>
                <w:lang w:val="es-ES_tradnl"/>
              </w:rPr>
              <w:t>66 ms</w:t>
            </w:r>
          </w:p>
        </w:tc>
      </w:tr>
      <w:tr w:rsidR="00621BAD" w:rsidRPr="00317E98" w:rsidTr="002206E5">
        <w:tc>
          <w:tcPr>
            <w:tcW w:w="1270" w:type="dxa"/>
          </w:tcPr>
          <w:p w:rsidR="00621BAD" w:rsidRPr="00317E98" w:rsidRDefault="00621BAD" w:rsidP="008A49DD">
            <w:pPr>
              <w:pStyle w:val="CMTtextobase"/>
              <w:spacing w:after="0"/>
              <w:rPr>
                <w:lang w:val="es-ES_tradnl"/>
              </w:rPr>
            </w:pPr>
            <w:r w:rsidRPr="00317E98">
              <w:rPr>
                <w:lang w:val="es-ES_tradnl"/>
              </w:rPr>
              <w:t>QoS RT</w:t>
            </w:r>
          </w:p>
        </w:tc>
        <w:tc>
          <w:tcPr>
            <w:tcW w:w="3897" w:type="dxa"/>
            <w:shd w:val="clear" w:color="auto" w:fill="FFFF99"/>
          </w:tcPr>
          <w:p w:rsidR="00621BAD" w:rsidRPr="00317E98" w:rsidRDefault="00D26D5B" w:rsidP="008A49DD">
            <w:pPr>
              <w:pStyle w:val="CMTtextobase"/>
              <w:spacing w:after="0"/>
              <w:jc w:val="center"/>
              <w:rPr>
                <w:lang w:val="es-ES_tradnl"/>
              </w:rPr>
            </w:pPr>
            <w:r>
              <w:rPr>
                <w:lang w:val="es-ES_tradnl"/>
              </w:rPr>
              <w:t>45</w:t>
            </w:r>
            <w:r w:rsidR="00621BAD">
              <w:rPr>
                <w:lang w:val="es-ES_tradnl"/>
              </w:rPr>
              <w:t xml:space="preserve"> ms</w:t>
            </w:r>
          </w:p>
        </w:tc>
        <w:tc>
          <w:tcPr>
            <w:tcW w:w="4437" w:type="dxa"/>
            <w:shd w:val="clear" w:color="auto" w:fill="FFFF99"/>
          </w:tcPr>
          <w:p w:rsidR="00621BAD" w:rsidRPr="00317E98" w:rsidRDefault="00E5075D" w:rsidP="008A49DD">
            <w:pPr>
              <w:pStyle w:val="CMTtextobase"/>
              <w:spacing w:after="0"/>
              <w:jc w:val="center"/>
              <w:rPr>
                <w:lang w:val="es-ES_tradnl"/>
              </w:rPr>
            </w:pPr>
            <w:r>
              <w:rPr>
                <w:lang w:val="es-ES_tradnl"/>
              </w:rPr>
              <w:t>45 ms</w:t>
            </w:r>
          </w:p>
        </w:tc>
      </w:tr>
    </w:tbl>
    <w:p w:rsidR="00621BAD" w:rsidRPr="006657B0" w:rsidRDefault="00621BAD" w:rsidP="006657B0">
      <w:pPr>
        <w:pStyle w:val="CMTtextobase"/>
        <w:spacing w:after="0"/>
        <w:rPr>
          <w:sz w:val="16"/>
          <w:szCs w:val="16"/>
          <w:lang w:val="es-ES_tradnl"/>
        </w:rPr>
      </w:pPr>
    </w:p>
    <w:p w:rsidR="00442157" w:rsidRPr="00925D2F" w:rsidRDefault="00442157" w:rsidP="006657B0">
      <w:pPr>
        <w:spacing w:before="120" w:after="60"/>
        <w:ind w:left="709"/>
        <w:rPr>
          <w:rFonts w:ascii="Arial" w:hAnsi="Arial" w:cs="Arial"/>
          <w:sz w:val="24"/>
          <w:szCs w:val="24"/>
        </w:rPr>
      </w:pPr>
      <w:r>
        <w:rPr>
          <w:rFonts w:ascii="Arial" w:hAnsi="Arial" w:cs="Arial"/>
          <w:sz w:val="24"/>
          <w:szCs w:val="24"/>
        </w:rPr>
        <w:t>L</w:t>
      </w:r>
      <w:r w:rsidRPr="00925D2F">
        <w:rPr>
          <w:rFonts w:ascii="Arial" w:hAnsi="Arial" w:cs="Arial"/>
          <w:sz w:val="24"/>
          <w:szCs w:val="24"/>
        </w:rPr>
        <w:t xml:space="preserve">os valores previos deben entenderse dentro del siguiente contexto: </w:t>
      </w:r>
    </w:p>
    <w:p w:rsidR="00621BAD" w:rsidRPr="00621BAD" w:rsidRDefault="00621BAD" w:rsidP="006657B0">
      <w:pPr>
        <w:numPr>
          <w:ilvl w:val="0"/>
          <w:numId w:val="71"/>
        </w:numPr>
        <w:spacing w:before="120" w:after="60"/>
        <w:ind w:hanging="357"/>
        <w:rPr>
          <w:rFonts w:ascii="Arial" w:hAnsi="Arial" w:cs="Arial"/>
          <w:sz w:val="24"/>
          <w:szCs w:val="24"/>
        </w:rPr>
      </w:pPr>
      <w:r w:rsidRPr="00621BAD">
        <w:rPr>
          <w:rFonts w:ascii="Arial" w:hAnsi="Arial" w:cs="Arial"/>
          <w:sz w:val="24"/>
          <w:szCs w:val="24"/>
        </w:rPr>
        <w:t xml:space="preserve">El retardo se medirá desde el equipo de cliente hasta el punto de entrega al operador pPAI. </w:t>
      </w:r>
    </w:p>
    <w:p w:rsidR="00621BAD" w:rsidRPr="00621BAD" w:rsidRDefault="00621BAD" w:rsidP="006657B0">
      <w:pPr>
        <w:numPr>
          <w:ilvl w:val="0"/>
          <w:numId w:val="71"/>
        </w:numPr>
        <w:spacing w:before="120" w:after="60"/>
        <w:ind w:hanging="357"/>
        <w:rPr>
          <w:rFonts w:ascii="Arial" w:hAnsi="Arial" w:cs="Arial"/>
          <w:sz w:val="24"/>
          <w:szCs w:val="24"/>
        </w:rPr>
      </w:pPr>
      <w:r w:rsidRPr="00621BAD">
        <w:rPr>
          <w:rFonts w:ascii="Arial" w:hAnsi="Arial" w:cs="Arial"/>
          <w:sz w:val="24"/>
          <w:szCs w:val="24"/>
        </w:rPr>
        <w:t xml:space="preserve">Los valores de referencia reflejados no se garantizan durante la ejecución de tareas programadas de operación y mantenimiento de la red. </w:t>
      </w:r>
    </w:p>
    <w:p w:rsidR="00621BAD" w:rsidRPr="00621BAD" w:rsidRDefault="00621BAD" w:rsidP="006657B0">
      <w:pPr>
        <w:numPr>
          <w:ilvl w:val="0"/>
          <w:numId w:val="71"/>
        </w:numPr>
        <w:spacing w:before="120" w:after="60"/>
        <w:ind w:hanging="357"/>
        <w:rPr>
          <w:rFonts w:ascii="Arial" w:hAnsi="Arial" w:cs="Arial"/>
          <w:sz w:val="24"/>
          <w:szCs w:val="24"/>
        </w:rPr>
      </w:pPr>
      <w:r w:rsidRPr="00621BAD">
        <w:rPr>
          <w:rFonts w:ascii="Arial" w:hAnsi="Arial" w:cs="Arial"/>
          <w:sz w:val="24"/>
          <w:szCs w:val="24"/>
        </w:rPr>
        <w:t xml:space="preserve">Los valores de retardo toman como referencia un tamaño de trama de 64 bytes. </w:t>
      </w:r>
    </w:p>
    <w:p w:rsidR="00621BAD" w:rsidRPr="00621BAD" w:rsidRDefault="00621BAD" w:rsidP="006657B0">
      <w:pPr>
        <w:numPr>
          <w:ilvl w:val="0"/>
          <w:numId w:val="71"/>
        </w:numPr>
        <w:spacing w:before="120" w:after="60"/>
        <w:ind w:hanging="357"/>
        <w:rPr>
          <w:rFonts w:ascii="Arial" w:hAnsi="Arial" w:cs="Arial"/>
          <w:sz w:val="24"/>
          <w:szCs w:val="24"/>
        </w:rPr>
      </w:pPr>
      <w:r w:rsidRPr="00621BAD">
        <w:rPr>
          <w:rFonts w:ascii="Arial" w:hAnsi="Arial" w:cs="Arial"/>
          <w:sz w:val="24"/>
          <w:szCs w:val="24"/>
        </w:rPr>
        <w:t>Estos parámetros se miden considerando el 100% del tiempo salvo durante la ejecución de tareas programadas de operación y mantenimiento de la red.</w:t>
      </w:r>
    </w:p>
    <w:p w:rsidR="00621BAD" w:rsidRPr="00621BAD" w:rsidRDefault="00621BAD" w:rsidP="002206E5">
      <w:pPr>
        <w:spacing w:before="240" w:after="60"/>
        <w:ind w:left="709"/>
        <w:rPr>
          <w:rFonts w:ascii="Arial" w:hAnsi="Arial" w:cs="Arial"/>
          <w:sz w:val="24"/>
          <w:szCs w:val="24"/>
        </w:rPr>
      </w:pPr>
      <w:r w:rsidRPr="00621BAD">
        <w:rPr>
          <w:rFonts w:ascii="Arial" w:hAnsi="Arial" w:cs="Arial"/>
          <w:sz w:val="24"/>
          <w:szCs w:val="24"/>
        </w:rPr>
        <w:t xml:space="preserve">Los valores propuestos tienen en consideración el retardo introducido por el router, siendo éste típicamente del orden de </w:t>
      </w:r>
      <w:smartTag w:uri="urn:schemas-microsoft-com:office:smarttags" w:element="metricconverter">
        <w:smartTagPr>
          <w:attr w:name="ProductID" w:val="10 a"/>
        </w:smartTagPr>
        <w:r w:rsidRPr="00621BAD">
          <w:rPr>
            <w:rFonts w:ascii="Arial" w:hAnsi="Arial" w:cs="Arial"/>
            <w:sz w:val="24"/>
            <w:szCs w:val="24"/>
          </w:rPr>
          <w:t>10 a</w:t>
        </w:r>
      </w:smartTag>
      <w:r w:rsidRPr="00621BAD">
        <w:rPr>
          <w:rFonts w:ascii="Arial" w:hAnsi="Arial" w:cs="Arial"/>
          <w:sz w:val="24"/>
          <w:szCs w:val="24"/>
        </w:rPr>
        <w:t xml:space="preserve"> 15 ms. </w:t>
      </w:r>
    </w:p>
    <w:p w:rsidR="00710B32" w:rsidRDefault="00710B32" w:rsidP="006657B0">
      <w:pPr>
        <w:ind w:left="0"/>
        <w:rPr>
          <w:rFonts w:ascii="Arial" w:hAnsi="Arial" w:cs="Arial"/>
          <w:sz w:val="24"/>
          <w:szCs w:val="24"/>
        </w:rPr>
      </w:pPr>
    </w:p>
    <w:p w:rsidR="00925D2F" w:rsidRDefault="00925D2F" w:rsidP="00AF32C8">
      <w:pPr>
        <w:pStyle w:val="EstiloTtulo3"/>
      </w:pPr>
      <w:bookmarkStart w:id="88" w:name="_Toc444784483"/>
      <w:r>
        <w:t>Variación del retardo (jitter)</w:t>
      </w:r>
      <w:bookmarkEnd w:id="88"/>
    </w:p>
    <w:p w:rsidR="00442157" w:rsidRPr="00442157" w:rsidRDefault="00442157" w:rsidP="00E5075D">
      <w:pPr>
        <w:spacing w:before="60" w:after="60"/>
        <w:ind w:left="425"/>
        <w:rPr>
          <w:rFonts w:ascii="Arial" w:hAnsi="Arial" w:cs="Arial"/>
          <w:sz w:val="24"/>
          <w:szCs w:val="24"/>
        </w:rPr>
      </w:pPr>
      <w:r w:rsidRPr="00442157">
        <w:rPr>
          <w:rFonts w:ascii="Arial" w:hAnsi="Arial" w:cs="Arial"/>
          <w:sz w:val="24"/>
          <w:szCs w:val="24"/>
        </w:rPr>
        <w:t xml:space="preserve">La variación del retardo se define como la diferencia entre el percentil 95 y el valor medio del retardo unidireccional de las tramas entregadas de forma satisfactoria. El valor se medirá sobre tramas que se ajustan a los valores contratados por el usuario para una determinada calidad de servicio. </w:t>
      </w:r>
    </w:p>
    <w:p w:rsidR="00442157" w:rsidRDefault="00442157" w:rsidP="00E5075D">
      <w:pPr>
        <w:spacing w:before="60" w:after="60"/>
        <w:ind w:left="425"/>
        <w:rPr>
          <w:rFonts w:ascii="Arial" w:hAnsi="Arial" w:cs="Arial"/>
          <w:sz w:val="24"/>
          <w:szCs w:val="24"/>
        </w:rPr>
      </w:pPr>
      <w:r>
        <w:rPr>
          <w:rFonts w:ascii="Arial" w:hAnsi="Arial" w:cs="Arial"/>
          <w:sz w:val="24"/>
          <w:szCs w:val="24"/>
        </w:rPr>
        <w:t>La variación de retardo tendrá en consideración la tecnología de acceso utilizada y se especificarán para accesos ADSL2+ y por otra parte para tecnologías VDSL2/GPON</w:t>
      </w:r>
      <w:r w:rsidRPr="00621BAD">
        <w:rPr>
          <w:rFonts w:ascii="Arial" w:hAnsi="Arial" w:cs="Arial"/>
          <w:sz w:val="24"/>
          <w:szCs w:val="24"/>
        </w:rPr>
        <w:t>:</w:t>
      </w:r>
    </w:p>
    <w:p w:rsidR="00442157" w:rsidRPr="00442157" w:rsidRDefault="00442157" w:rsidP="00442157">
      <w:pPr>
        <w:pStyle w:val="CMTtextobase"/>
        <w:spacing w:after="0" w:line="240" w:lineRule="auto"/>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827"/>
        <w:gridCol w:w="4359"/>
      </w:tblGrid>
      <w:tr w:rsidR="00442157" w:rsidRPr="00317E98" w:rsidTr="002206E5">
        <w:tc>
          <w:tcPr>
            <w:tcW w:w="1418" w:type="dxa"/>
          </w:tcPr>
          <w:p w:rsidR="00442157" w:rsidRPr="00442157" w:rsidRDefault="00442157" w:rsidP="008A49DD">
            <w:pPr>
              <w:pStyle w:val="CMTtextobase"/>
              <w:spacing w:after="0"/>
            </w:pPr>
          </w:p>
        </w:tc>
        <w:tc>
          <w:tcPr>
            <w:tcW w:w="3827" w:type="dxa"/>
          </w:tcPr>
          <w:p w:rsidR="00442157" w:rsidRDefault="00442157" w:rsidP="008A49DD">
            <w:pPr>
              <w:pStyle w:val="CMTtextobase"/>
              <w:spacing w:after="0"/>
              <w:jc w:val="center"/>
              <w:rPr>
                <w:lang w:val="es-ES_tradnl"/>
              </w:rPr>
            </w:pPr>
            <w:r>
              <w:rPr>
                <w:lang w:val="es-ES_tradnl"/>
              </w:rPr>
              <w:t>Variación del retardo (percentil 95%)</w:t>
            </w:r>
          </w:p>
          <w:p w:rsidR="00442157" w:rsidRPr="00317E98" w:rsidRDefault="00442157" w:rsidP="008A49DD">
            <w:pPr>
              <w:pStyle w:val="CMTtextobase"/>
              <w:spacing w:after="0"/>
              <w:jc w:val="center"/>
              <w:rPr>
                <w:lang w:val="es-ES_tradnl"/>
              </w:rPr>
            </w:pPr>
            <w:r>
              <w:rPr>
                <w:lang w:val="es-ES_tradnl"/>
              </w:rPr>
              <w:t>ADSL2+</w:t>
            </w:r>
          </w:p>
        </w:tc>
        <w:tc>
          <w:tcPr>
            <w:tcW w:w="4359" w:type="dxa"/>
            <w:tcBorders>
              <w:bottom w:val="single" w:sz="4" w:space="0" w:color="auto"/>
            </w:tcBorders>
          </w:tcPr>
          <w:p w:rsidR="00442157" w:rsidRPr="00317E98" w:rsidRDefault="00442157" w:rsidP="008A49DD">
            <w:pPr>
              <w:pStyle w:val="CMTtextobase"/>
              <w:spacing w:after="0"/>
              <w:jc w:val="center"/>
              <w:rPr>
                <w:lang w:val="es-ES_tradnl"/>
              </w:rPr>
            </w:pPr>
            <w:r w:rsidRPr="00317E98">
              <w:rPr>
                <w:lang w:val="es-ES_tradnl"/>
              </w:rPr>
              <w:t>Variación de retardo (percentil 95%)</w:t>
            </w:r>
            <w:r>
              <w:rPr>
                <w:lang w:val="es-ES_tradnl"/>
              </w:rPr>
              <w:t xml:space="preserve"> VDSL2/GPON</w:t>
            </w:r>
          </w:p>
        </w:tc>
      </w:tr>
      <w:tr w:rsidR="00442157" w:rsidRPr="00317E98" w:rsidTr="002206E5">
        <w:tc>
          <w:tcPr>
            <w:tcW w:w="1418" w:type="dxa"/>
          </w:tcPr>
          <w:p w:rsidR="00442157" w:rsidRPr="00317E98" w:rsidRDefault="00442157" w:rsidP="008A49DD">
            <w:pPr>
              <w:pStyle w:val="CMTtextobase"/>
              <w:spacing w:after="0"/>
              <w:rPr>
                <w:lang w:val="es-ES_tradnl"/>
              </w:rPr>
            </w:pPr>
            <w:r w:rsidRPr="00317E98">
              <w:rPr>
                <w:lang w:val="es-ES_tradnl"/>
              </w:rPr>
              <w:t>QoS BE</w:t>
            </w:r>
          </w:p>
        </w:tc>
        <w:tc>
          <w:tcPr>
            <w:tcW w:w="3827" w:type="dxa"/>
            <w:shd w:val="clear" w:color="auto" w:fill="FFFF99"/>
          </w:tcPr>
          <w:p w:rsidR="00442157" w:rsidRPr="00317E98" w:rsidRDefault="00442157" w:rsidP="008A49DD">
            <w:pPr>
              <w:pStyle w:val="CMTtextobase"/>
              <w:spacing w:after="0"/>
              <w:jc w:val="center"/>
              <w:rPr>
                <w:lang w:val="es-ES_tradnl"/>
              </w:rPr>
            </w:pPr>
            <w:r>
              <w:rPr>
                <w:lang w:val="es-ES_tradnl"/>
              </w:rPr>
              <w:t>-</w:t>
            </w:r>
          </w:p>
        </w:tc>
        <w:tc>
          <w:tcPr>
            <w:tcW w:w="4359" w:type="dxa"/>
            <w:shd w:val="clear" w:color="auto" w:fill="FFFF99"/>
          </w:tcPr>
          <w:p w:rsidR="00442157" w:rsidRPr="00317E98" w:rsidRDefault="00442157" w:rsidP="008A49DD">
            <w:pPr>
              <w:pStyle w:val="CMTtextobase"/>
              <w:spacing w:after="0"/>
              <w:jc w:val="center"/>
              <w:rPr>
                <w:lang w:val="es-ES_tradnl"/>
              </w:rPr>
            </w:pPr>
            <w:r w:rsidRPr="00317E98">
              <w:rPr>
                <w:lang w:val="es-ES_tradnl"/>
              </w:rPr>
              <w:t>-</w:t>
            </w:r>
          </w:p>
        </w:tc>
      </w:tr>
      <w:tr w:rsidR="00442157" w:rsidRPr="00317E98" w:rsidTr="002206E5">
        <w:tc>
          <w:tcPr>
            <w:tcW w:w="1418" w:type="dxa"/>
          </w:tcPr>
          <w:p w:rsidR="00442157" w:rsidRPr="00317E98" w:rsidRDefault="00442157" w:rsidP="008A49DD">
            <w:pPr>
              <w:pStyle w:val="CMTtextobase"/>
              <w:spacing w:after="0"/>
              <w:rPr>
                <w:lang w:val="es-ES_tradnl"/>
              </w:rPr>
            </w:pPr>
            <w:r w:rsidRPr="00317E98">
              <w:rPr>
                <w:lang w:val="es-ES_tradnl"/>
              </w:rPr>
              <w:t>QoS ORO</w:t>
            </w:r>
          </w:p>
        </w:tc>
        <w:tc>
          <w:tcPr>
            <w:tcW w:w="3827" w:type="dxa"/>
            <w:shd w:val="clear" w:color="auto" w:fill="FFFF99"/>
          </w:tcPr>
          <w:p w:rsidR="00442157" w:rsidRPr="00317E98" w:rsidRDefault="00442157" w:rsidP="008A49DD">
            <w:pPr>
              <w:pStyle w:val="CMTtextobase"/>
              <w:spacing w:after="0"/>
              <w:jc w:val="center"/>
              <w:rPr>
                <w:lang w:val="es-ES_tradnl"/>
              </w:rPr>
            </w:pPr>
            <w:r>
              <w:rPr>
                <w:lang w:val="es-ES_tradnl"/>
              </w:rPr>
              <w:t>-</w:t>
            </w:r>
          </w:p>
        </w:tc>
        <w:tc>
          <w:tcPr>
            <w:tcW w:w="4359" w:type="dxa"/>
            <w:shd w:val="clear" w:color="auto" w:fill="FFFF99"/>
          </w:tcPr>
          <w:p w:rsidR="00442157" w:rsidRPr="00317E98" w:rsidRDefault="00442157" w:rsidP="008A49DD">
            <w:pPr>
              <w:pStyle w:val="CMTtextobase"/>
              <w:spacing w:after="0"/>
              <w:jc w:val="center"/>
              <w:rPr>
                <w:lang w:val="es-ES_tradnl"/>
              </w:rPr>
            </w:pPr>
            <w:r w:rsidRPr="00317E98">
              <w:rPr>
                <w:lang w:val="es-ES_tradnl"/>
              </w:rPr>
              <w:t>-</w:t>
            </w:r>
          </w:p>
        </w:tc>
      </w:tr>
      <w:tr w:rsidR="00442157" w:rsidRPr="00317E98" w:rsidTr="002206E5">
        <w:tc>
          <w:tcPr>
            <w:tcW w:w="1418" w:type="dxa"/>
          </w:tcPr>
          <w:p w:rsidR="00442157" w:rsidRPr="00317E98" w:rsidRDefault="00442157" w:rsidP="008A49DD">
            <w:pPr>
              <w:pStyle w:val="CMTtextobase"/>
              <w:spacing w:after="0"/>
              <w:rPr>
                <w:lang w:val="es-ES_tradnl"/>
              </w:rPr>
            </w:pPr>
            <w:r w:rsidRPr="00317E98">
              <w:rPr>
                <w:lang w:val="es-ES_tradnl"/>
              </w:rPr>
              <w:t>QoS RT</w:t>
            </w:r>
          </w:p>
        </w:tc>
        <w:tc>
          <w:tcPr>
            <w:tcW w:w="3827" w:type="dxa"/>
            <w:shd w:val="clear" w:color="auto" w:fill="FFFF99"/>
          </w:tcPr>
          <w:p w:rsidR="00442157" w:rsidRPr="00317E98" w:rsidRDefault="00442157" w:rsidP="008A49DD">
            <w:pPr>
              <w:pStyle w:val="CMTtextobase"/>
              <w:spacing w:after="0"/>
              <w:jc w:val="center"/>
              <w:rPr>
                <w:lang w:val="es-ES_tradnl"/>
              </w:rPr>
            </w:pPr>
            <w:r>
              <w:rPr>
                <w:lang w:val="es-ES_tradnl"/>
              </w:rPr>
              <w:t>10 ms</w:t>
            </w:r>
          </w:p>
        </w:tc>
        <w:tc>
          <w:tcPr>
            <w:tcW w:w="4359" w:type="dxa"/>
            <w:shd w:val="clear" w:color="auto" w:fill="FFFF99"/>
          </w:tcPr>
          <w:p w:rsidR="00442157" w:rsidRPr="00317E98" w:rsidRDefault="00E5075D" w:rsidP="008A49DD">
            <w:pPr>
              <w:pStyle w:val="CMTtextobase"/>
              <w:spacing w:after="0"/>
              <w:jc w:val="center"/>
              <w:rPr>
                <w:lang w:val="es-ES_tradnl"/>
              </w:rPr>
            </w:pPr>
            <w:r>
              <w:rPr>
                <w:lang w:val="es-ES_tradnl"/>
              </w:rPr>
              <w:t>10 ms</w:t>
            </w:r>
          </w:p>
        </w:tc>
      </w:tr>
    </w:tbl>
    <w:p w:rsidR="00442157" w:rsidRDefault="00442157" w:rsidP="00442157">
      <w:pPr>
        <w:pStyle w:val="CMTtextobase"/>
        <w:spacing w:after="0"/>
        <w:rPr>
          <w:lang w:val="es-ES_tradnl"/>
        </w:rPr>
      </w:pPr>
    </w:p>
    <w:p w:rsidR="00442157" w:rsidRPr="00925D2F" w:rsidRDefault="00442157" w:rsidP="00E5075D">
      <w:pPr>
        <w:spacing w:before="60" w:after="60"/>
        <w:ind w:left="425"/>
        <w:rPr>
          <w:rFonts w:ascii="Arial" w:hAnsi="Arial" w:cs="Arial"/>
          <w:sz w:val="24"/>
          <w:szCs w:val="24"/>
        </w:rPr>
      </w:pPr>
      <w:r>
        <w:rPr>
          <w:rFonts w:ascii="Arial" w:hAnsi="Arial" w:cs="Arial"/>
          <w:sz w:val="24"/>
          <w:szCs w:val="24"/>
        </w:rPr>
        <w:t>L</w:t>
      </w:r>
      <w:r w:rsidRPr="00925D2F">
        <w:rPr>
          <w:rFonts w:ascii="Arial" w:hAnsi="Arial" w:cs="Arial"/>
          <w:sz w:val="24"/>
          <w:szCs w:val="24"/>
        </w:rPr>
        <w:t xml:space="preserve">os valores previos deben entenderse dentro del siguiente contexto: </w:t>
      </w:r>
    </w:p>
    <w:p w:rsidR="00442157" w:rsidRPr="00442157" w:rsidRDefault="00442157" w:rsidP="006657B0">
      <w:pPr>
        <w:numPr>
          <w:ilvl w:val="0"/>
          <w:numId w:val="71"/>
        </w:numPr>
        <w:spacing w:before="120" w:after="60"/>
        <w:ind w:hanging="357"/>
        <w:rPr>
          <w:rFonts w:ascii="Arial" w:hAnsi="Arial" w:cs="Arial"/>
          <w:sz w:val="24"/>
          <w:szCs w:val="24"/>
        </w:rPr>
      </w:pPr>
      <w:r w:rsidRPr="00442157">
        <w:rPr>
          <w:rFonts w:ascii="Arial" w:hAnsi="Arial" w:cs="Arial"/>
          <w:sz w:val="24"/>
          <w:szCs w:val="24"/>
        </w:rPr>
        <w:t xml:space="preserve">La variación de retardo se medirá desde el equipo de cliente hasta el punto de entrega al operador pPAI. </w:t>
      </w:r>
    </w:p>
    <w:p w:rsidR="00442157" w:rsidRPr="00442157" w:rsidRDefault="00442157" w:rsidP="006657B0">
      <w:pPr>
        <w:numPr>
          <w:ilvl w:val="0"/>
          <w:numId w:val="71"/>
        </w:numPr>
        <w:spacing w:before="120" w:after="60"/>
        <w:ind w:hanging="357"/>
        <w:rPr>
          <w:rFonts w:ascii="Arial" w:hAnsi="Arial" w:cs="Arial"/>
          <w:sz w:val="24"/>
          <w:szCs w:val="24"/>
        </w:rPr>
      </w:pPr>
      <w:r w:rsidRPr="00442157">
        <w:rPr>
          <w:rFonts w:ascii="Arial" w:hAnsi="Arial" w:cs="Arial"/>
          <w:sz w:val="24"/>
          <w:szCs w:val="24"/>
        </w:rPr>
        <w:t xml:space="preserve">Los valores de referencia reflejados no se garantizan durante la ejecución de tareas programadas de operación y mantenimiento de la red. </w:t>
      </w:r>
    </w:p>
    <w:p w:rsidR="00442157" w:rsidRPr="00442157" w:rsidRDefault="00442157" w:rsidP="006657B0">
      <w:pPr>
        <w:numPr>
          <w:ilvl w:val="0"/>
          <w:numId w:val="71"/>
        </w:numPr>
        <w:spacing w:before="120" w:after="60"/>
        <w:ind w:hanging="357"/>
        <w:rPr>
          <w:rFonts w:ascii="Arial" w:hAnsi="Arial" w:cs="Arial"/>
          <w:sz w:val="24"/>
          <w:szCs w:val="24"/>
        </w:rPr>
      </w:pPr>
      <w:r w:rsidRPr="00442157">
        <w:rPr>
          <w:rFonts w:ascii="Arial" w:hAnsi="Arial" w:cs="Arial"/>
          <w:sz w:val="24"/>
          <w:szCs w:val="24"/>
        </w:rPr>
        <w:t xml:space="preserve">Los valores de variación de retardo toman como referencia un tamaño de trama de 64 bytes. </w:t>
      </w:r>
    </w:p>
    <w:p w:rsidR="00442157" w:rsidRPr="00442157" w:rsidRDefault="00442157" w:rsidP="006657B0">
      <w:pPr>
        <w:numPr>
          <w:ilvl w:val="0"/>
          <w:numId w:val="71"/>
        </w:numPr>
        <w:spacing w:before="120" w:after="60"/>
        <w:ind w:hanging="357"/>
        <w:rPr>
          <w:rFonts w:ascii="Arial" w:hAnsi="Arial" w:cs="Arial"/>
          <w:sz w:val="24"/>
          <w:szCs w:val="24"/>
        </w:rPr>
      </w:pPr>
      <w:r w:rsidRPr="00442157">
        <w:rPr>
          <w:rFonts w:ascii="Arial" w:hAnsi="Arial" w:cs="Arial"/>
          <w:sz w:val="24"/>
          <w:szCs w:val="24"/>
        </w:rPr>
        <w:t>Estos parámetros se miden considerando el 100% del tiempo salvo durante la ejecución de tareas programadas de operación y mantenimiento de la red.</w:t>
      </w:r>
    </w:p>
    <w:p w:rsidR="00B37A78" w:rsidRDefault="00B37A78" w:rsidP="00AF32C8">
      <w:pPr>
        <w:pStyle w:val="EstiloTtulo3"/>
      </w:pPr>
      <w:bookmarkStart w:id="89" w:name="_Toc444784484"/>
      <w:r>
        <w:t>Penalizaciones</w:t>
      </w:r>
      <w:bookmarkEnd w:id="89"/>
    </w:p>
    <w:p w:rsidR="00B37A78" w:rsidRDefault="00B37A78" w:rsidP="00E5075D">
      <w:pPr>
        <w:spacing w:before="60" w:after="60"/>
        <w:ind w:left="425"/>
        <w:rPr>
          <w:rFonts w:ascii="Arial" w:hAnsi="Arial" w:cs="Arial"/>
          <w:sz w:val="24"/>
          <w:szCs w:val="24"/>
        </w:rPr>
      </w:pPr>
      <w:r>
        <w:rPr>
          <w:rFonts w:ascii="Arial" w:hAnsi="Arial" w:cs="Arial"/>
          <w:sz w:val="24"/>
          <w:szCs w:val="24"/>
        </w:rPr>
        <w:t>E</w:t>
      </w:r>
      <w:r w:rsidRPr="001B5B59">
        <w:rPr>
          <w:rFonts w:ascii="Arial" w:hAnsi="Arial" w:cs="Arial"/>
          <w:sz w:val="24"/>
          <w:szCs w:val="24"/>
        </w:rPr>
        <w:t>l incumplimiento de estas garantías de calidad de servicio dará lugar a las penalizaciones que correspondan.</w:t>
      </w:r>
    </w:p>
    <w:p w:rsidR="001F1653" w:rsidRDefault="001F1653" w:rsidP="00E5075D">
      <w:pPr>
        <w:spacing w:before="60" w:after="60"/>
        <w:ind w:left="425"/>
        <w:rPr>
          <w:rFonts w:ascii="Arial" w:hAnsi="Arial" w:cs="Arial"/>
          <w:sz w:val="24"/>
          <w:szCs w:val="24"/>
        </w:rPr>
      </w:pPr>
      <w:r>
        <w:rPr>
          <w:rFonts w:ascii="Arial" w:hAnsi="Arial" w:cs="Arial"/>
          <w:sz w:val="24"/>
          <w:szCs w:val="24"/>
        </w:rPr>
        <w:t xml:space="preserve">Adicionalmente, Telefónica deberá </w:t>
      </w:r>
      <w:r w:rsidRPr="001F1653">
        <w:rPr>
          <w:rFonts w:ascii="Arial" w:hAnsi="Arial" w:cs="Arial"/>
          <w:sz w:val="24"/>
          <w:szCs w:val="24"/>
        </w:rPr>
        <w:t xml:space="preserve">reportar periódicamente </w:t>
      </w:r>
      <w:r>
        <w:rPr>
          <w:rFonts w:ascii="Arial" w:hAnsi="Arial" w:cs="Arial"/>
          <w:sz w:val="24"/>
          <w:szCs w:val="24"/>
        </w:rPr>
        <w:t xml:space="preserve">a los operadores y a la CNMC </w:t>
      </w:r>
      <w:r w:rsidRPr="001F1653">
        <w:rPr>
          <w:rFonts w:ascii="Arial" w:hAnsi="Arial" w:cs="Arial"/>
          <w:sz w:val="24"/>
          <w:szCs w:val="24"/>
        </w:rPr>
        <w:t xml:space="preserve">los valores de calidad medidos en autoprestación para </w:t>
      </w:r>
      <w:r w:rsidR="00250C92">
        <w:rPr>
          <w:rFonts w:ascii="Arial" w:hAnsi="Arial" w:cs="Arial"/>
          <w:sz w:val="24"/>
          <w:szCs w:val="24"/>
        </w:rPr>
        <w:t>sus</w:t>
      </w:r>
      <w:r w:rsidRPr="001F1653">
        <w:rPr>
          <w:rFonts w:ascii="Arial" w:hAnsi="Arial" w:cs="Arial"/>
          <w:sz w:val="24"/>
          <w:szCs w:val="24"/>
        </w:rPr>
        <w:t xml:space="preserve"> servicios minoristas</w:t>
      </w:r>
      <w:r w:rsidR="007B6A01">
        <w:rPr>
          <w:rFonts w:ascii="Arial" w:hAnsi="Arial" w:cs="Arial"/>
          <w:sz w:val="24"/>
          <w:szCs w:val="24"/>
        </w:rPr>
        <w:t>.</w:t>
      </w:r>
    </w:p>
    <w:p w:rsidR="00302782" w:rsidRPr="001B5B59" w:rsidRDefault="00302782" w:rsidP="00E5075D">
      <w:pPr>
        <w:spacing w:before="60" w:after="60"/>
        <w:ind w:left="425"/>
        <w:rPr>
          <w:rFonts w:ascii="Arial" w:hAnsi="Arial" w:cs="Arial"/>
          <w:sz w:val="24"/>
          <w:szCs w:val="24"/>
        </w:rPr>
      </w:pPr>
    </w:p>
    <w:p w:rsidR="00E02C27" w:rsidRDefault="00E02C27" w:rsidP="006B5381">
      <w:pPr>
        <w:pStyle w:val="EstiloTitulo2"/>
      </w:pPr>
      <w:bookmarkStart w:id="90" w:name="_Toc444782757"/>
      <w:bookmarkStart w:id="91" w:name="_Toc444784485"/>
      <w:bookmarkStart w:id="92" w:name="_Ref263864697"/>
      <w:bookmarkStart w:id="93" w:name="_Ref263864720"/>
      <w:bookmarkStart w:id="94" w:name="_Ref263864735"/>
      <w:bookmarkStart w:id="95" w:name="_Toc444784486"/>
      <w:bookmarkEnd w:id="90"/>
      <w:bookmarkEnd w:id="91"/>
      <w:r>
        <w:t>Calidad de la Red</w:t>
      </w:r>
      <w:bookmarkEnd w:id="92"/>
      <w:bookmarkEnd w:id="93"/>
      <w:bookmarkEnd w:id="94"/>
      <w:bookmarkEnd w:id="95"/>
    </w:p>
    <w:p w:rsidR="00E02C27" w:rsidRDefault="00E02C27">
      <w:pPr>
        <w:spacing w:before="240" w:after="60"/>
        <w:ind w:left="425"/>
        <w:rPr>
          <w:rFonts w:ascii="Arial" w:hAnsi="Arial" w:cs="Arial"/>
          <w:sz w:val="24"/>
          <w:szCs w:val="24"/>
        </w:rPr>
      </w:pPr>
      <w:r>
        <w:rPr>
          <w:rFonts w:ascii="Arial" w:hAnsi="Arial" w:cs="Arial"/>
          <w:sz w:val="24"/>
          <w:szCs w:val="24"/>
        </w:rPr>
        <w:t xml:space="preserve">Los parámetros de calidad que </w:t>
      </w:r>
      <w:r w:rsidR="00F32B45">
        <w:rPr>
          <w:rFonts w:ascii="Arial" w:hAnsi="Arial" w:cs="Arial"/>
          <w:sz w:val="24"/>
          <w:szCs w:val="24"/>
        </w:rPr>
        <w:t>Telefónica</w:t>
      </w:r>
      <w:r>
        <w:rPr>
          <w:rFonts w:ascii="Arial" w:hAnsi="Arial" w:cs="Arial"/>
          <w:sz w:val="24"/>
          <w:szCs w:val="24"/>
        </w:rPr>
        <w:t xml:space="preserve"> ofrece para los servicios son los que se especifiquen según lo indicado en el apartado </w:t>
      </w:r>
      <w:r w:rsidR="00F32B45">
        <w:rPr>
          <w:rFonts w:ascii="Arial" w:hAnsi="Arial" w:cs="Arial"/>
          <w:sz w:val="24"/>
          <w:szCs w:val="24"/>
        </w:rPr>
        <w:fldChar w:fldCharType="begin"/>
      </w:r>
      <w:r w:rsidR="00F32B45">
        <w:rPr>
          <w:rFonts w:ascii="Arial" w:hAnsi="Arial" w:cs="Arial"/>
          <w:sz w:val="24"/>
          <w:szCs w:val="24"/>
        </w:rPr>
        <w:instrText xml:space="preserve"> REF _Ref263869123 \r \h </w:instrText>
      </w:r>
      <w:r w:rsidR="00F32B45">
        <w:rPr>
          <w:rFonts w:ascii="Arial" w:hAnsi="Arial" w:cs="Arial"/>
          <w:sz w:val="24"/>
          <w:szCs w:val="24"/>
        </w:rPr>
      </w:r>
      <w:r w:rsidR="00F32B45">
        <w:rPr>
          <w:rFonts w:ascii="Arial" w:hAnsi="Arial" w:cs="Arial"/>
          <w:sz w:val="24"/>
          <w:szCs w:val="24"/>
        </w:rPr>
        <w:fldChar w:fldCharType="separate"/>
      </w:r>
      <w:r w:rsidR="00115AB9">
        <w:rPr>
          <w:rFonts w:ascii="Arial" w:hAnsi="Arial" w:cs="Arial"/>
          <w:sz w:val="24"/>
          <w:szCs w:val="24"/>
        </w:rPr>
        <w:t>7.2</w:t>
      </w:r>
      <w:r w:rsidR="00F32B45">
        <w:rPr>
          <w:rFonts w:ascii="Arial" w:hAnsi="Arial" w:cs="Arial"/>
          <w:sz w:val="24"/>
          <w:szCs w:val="24"/>
        </w:rPr>
        <w:fldChar w:fldCharType="end"/>
      </w:r>
      <w:r w:rsidR="00F32B45">
        <w:rPr>
          <w:rFonts w:ascii="Arial" w:hAnsi="Arial" w:cs="Arial"/>
          <w:sz w:val="24"/>
          <w:szCs w:val="24"/>
        </w:rPr>
        <w:t xml:space="preserve"> </w:t>
      </w:r>
      <w:r>
        <w:rPr>
          <w:rFonts w:ascii="Arial" w:hAnsi="Arial" w:cs="Arial"/>
          <w:sz w:val="24"/>
          <w:szCs w:val="24"/>
        </w:rPr>
        <w:t xml:space="preserve">relativo a los Acuerdos de Nivel de Servicio y serán de aplicación a  las conexiones de los </w:t>
      </w:r>
      <w:r w:rsidR="00A41886">
        <w:rPr>
          <w:rFonts w:ascii="Arial" w:hAnsi="Arial" w:cs="Arial"/>
          <w:sz w:val="24"/>
          <w:szCs w:val="24"/>
        </w:rPr>
        <w:t>operadores</w:t>
      </w:r>
      <w:r>
        <w:rPr>
          <w:rFonts w:ascii="Arial" w:hAnsi="Arial" w:cs="Arial"/>
          <w:sz w:val="24"/>
          <w:szCs w:val="24"/>
        </w:rPr>
        <w:t xml:space="preserve">. </w:t>
      </w:r>
    </w:p>
    <w:p w:rsidR="00E02C27" w:rsidRDefault="00E02C27">
      <w:pPr>
        <w:spacing w:before="60" w:after="60"/>
        <w:ind w:left="425"/>
        <w:rPr>
          <w:rFonts w:ascii="Arial" w:hAnsi="Arial" w:cs="Arial"/>
          <w:sz w:val="24"/>
          <w:szCs w:val="24"/>
        </w:rPr>
      </w:pPr>
      <w:r>
        <w:rPr>
          <w:rFonts w:ascii="Arial" w:hAnsi="Arial" w:cs="Arial"/>
          <w:sz w:val="24"/>
          <w:szCs w:val="24"/>
        </w:rPr>
        <w:t xml:space="preserve">Para el seguimiento y monitorización de dicha calidad, </w:t>
      </w:r>
      <w:r w:rsidR="00F32B45">
        <w:rPr>
          <w:rFonts w:ascii="Arial" w:hAnsi="Arial" w:cs="Arial"/>
          <w:sz w:val="24"/>
          <w:szCs w:val="24"/>
        </w:rPr>
        <w:t xml:space="preserve">Telefónica </w:t>
      </w:r>
      <w:r>
        <w:rPr>
          <w:rFonts w:ascii="Arial" w:hAnsi="Arial" w:cs="Arial"/>
          <w:sz w:val="24"/>
          <w:szCs w:val="24"/>
        </w:rPr>
        <w:t>dispondrá de sondas que efectuarán medidas que abarquen el tramo de red del servicio. Dichas medidas serán estadísticamente representativas y se realizarán sobre un conjunto de líneas que se considere representativo que permita extrapolar el resultado al servicio</w:t>
      </w:r>
      <w:r w:rsidR="001B5B59">
        <w:rPr>
          <w:rFonts w:ascii="Arial" w:hAnsi="Arial" w:cs="Arial"/>
          <w:sz w:val="24"/>
          <w:szCs w:val="24"/>
        </w:rPr>
        <w:t xml:space="preserve"> y que incluirá tanto los accesos en cobre como los de fibra</w:t>
      </w:r>
      <w:r>
        <w:rPr>
          <w:rFonts w:ascii="Arial" w:hAnsi="Arial" w:cs="Arial"/>
          <w:sz w:val="24"/>
          <w:szCs w:val="24"/>
        </w:rPr>
        <w:t xml:space="preserve">. </w:t>
      </w:r>
    </w:p>
    <w:p w:rsidR="00F91A96" w:rsidRDefault="00F91A96">
      <w:pPr>
        <w:spacing w:before="60" w:after="60"/>
        <w:ind w:left="425"/>
        <w:rPr>
          <w:rFonts w:ascii="Arial" w:hAnsi="Arial" w:cs="Arial"/>
          <w:sz w:val="24"/>
          <w:szCs w:val="24"/>
        </w:rPr>
      </w:pPr>
      <w:r>
        <w:rPr>
          <w:rFonts w:ascii="Arial" w:hAnsi="Arial" w:cs="Arial"/>
          <w:sz w:val="24"/>
          <w:szCs w:val="24"/>
        </w:rPr>
        <w:t>En cualquier caso Telefónica</w:t>
      </w:r>
      <w:r w:rsidR="00A00A26">
        <w:rPr>
          <w:rFonts w:ascii="Arial" w:hAnsi="Arial" w:cs="Arial"/>
          <w:sz w:val="24"/>
          <w:szCs w:val="24"/>
        </w:rPr>
        <w:t xml:space="preserve">, </w:t>
      </w:r>
      <w:r>
        <w:rPr>
          <w:rFonts w:ascii="Arial" w:hAnsi="Arial" w:cs="Arial"/>
          <w:sz w:val="24"/>
          <w:szCs w:val="24"/>
        </w:rPr>
        <w:t>de forma puntual</w:t>
      </w:r>
      <w:r w:rsidR="00A00A26">
        <w:rPr>
          <w:rFonts w:ascii="Arial" w:hAnsi="Arial" w:cs="Arial"/>
          <w:sz w:val="24"/>
          <w:szCs w:val="24"/>
        </w:rPr>
        <w:t>,</w:t>
      </w:r>
      <w:r>
        <w:rPr>
          <w:rFonts w:ascii="Arial" w:hAnsi="Arial" w:cs="Arial"/>
          <w:sz w:val="24"/>
          <w:szCs w:val="24"/>
        </w:rPr>
        <w:t xml:space="preserve"> deberá ser capaz de proporcionar medidas de calidad de servicio entre cualquier nodo de acceso y pPAI</w:t>
      </w:r>
      <w:r w:rsidR="00F32B45">
        <w:rPr>
          <w:rFonts w:ascii="Arial" w:hAnsi="Arial" w:cs="Arial"/>
          <w:sz w:val="24"/>
          <w:szCs w:val="24"/>
        </w:rPr>
        <w:t xml:space="preserve">. La toma de medidas </w:t>
      </w:r>
      <w:r w:rsidR="001B5B59">
        <w:rPr>
          <w:rFonts w:ascii="Arial" w:hAnsi="Arial" w:cs="Arial"/>
          <w:sz w:val="24"/>
          <w:szCs w:val="24"/>
        </w:rPr>
        <w:t xml:space="preserve"> permitirá validar una conexión extremo a extremo (nodo de acceso- pPAI) ante potenciales problemas detectados por el operador</w:t>
      </w:r>
      <w:r>
        <w:rPr>
          <w:rFonts w:ascii="Arial" w:hAnsi="Arial" w:cs="Arial"/>
          <w:sz w:val="24"/>
          <w:szCs w:val="24"/>
        </w:rPr>
        <w:t xml:space="preserve">. </w:t>
      </w:r>
      <w:r w:rsidR="001B5B59">
        <w:rPr>
          <w:rFonts w:ascii="Arial" w:hAnsi="Arial" w:cs="Arial"/>
          <w:sz w:val="24"/>
          <w:szCs w:val="24"/>
        </w:rPr>
        <w:t xml:space="preserve">Las medidas a realizar incluirán tanto los accesos en cobre como los accesos en fibra. </w:t>
      </w:r>
    </w:p>
    <w:p w:rsidR="00E02C27" w:rsidRDefault="00E02C27">
      <w:pPr>
        <w:spacing w:before="60" w:after="60"/>
        <w:ind w:left="425"/>
        <w:rPr>
          <w:rFonts w:ascii="Arial" w:hAnsi="Arial" w:cs="Arial"/>
          <w:sz w:val="24"/>
          <w:szCs w:val="24"/>
        </w:rPr>
      </w:pPr>
      <w:r>
        <w:rPr>
          <w:rFonts w:ascii="Arial" w:hAnsi="Arial" w:cs="Arial"/>
          <w:sz w:val="24"/>
          <w:szCs w:val="24"/>
        </w:rPr>
        <w:t xml:space="preserve">A partir de dichas medidas se elaborará el informe o informes adecuados con una determinada periodicidad y que será puesto a disposición de los </w:t>
      </w:r>
      <w:r w:rsidR="00A41886">
        <w:rPr>
          <w:rFonts w:ascii="Arial" w:hAnsi="Arial" w:cs="Arial"/>
          <w:sz w:val="24"/>
          <w:szCs w:val="24"/>
        </w:rPr>
        <w:t>operadores</w:t>
      </w:r>
      <w:r>
        <w:rPr>
          <w:rFonts w:ascii="Arial" w:hAnsi="Arial" w:cs="Arial"/>
          <w:sz w:val="24"/>
          <w:szCs w:val="24"/>
        </w:rPr>
        <w:t xml:space="preserve">. </w:t>
      </w:r>
    </w:p>
    <w:p w:rsidR="00E02C27" w:rsidRDefault="00E02C27">
      <w:pPr>
        <w:spacing w:before="60" w:after="60"/>
        <w:ind w:left="425"/>
        <w:rPr>
          <w:rFonts w:ascii="Arial" w:hAnsi="Arial" w:cs="Arial"/>
          <w:sz w:val="24"/>
          <w:szCs w:val="24"/>
        </w:rPr>
      </w:pPr>
      <w:r>
        <w:rPr>
          <w:rFonts w:ascii="Arial" w:hAnsi="Arial" w:cs="Arial"/>
          <w:sz w:val="24"/>
          <w:szCs w:val="24"/>
        </w:rPr>
        <w:t>T</w:t>
      </w:r>
      <w:r w:rsidR="00F32B45">
        <w:rPr>
          <w:rFonts w:ascii="Arial" w:hAnsi="Arial" w:cs="Arial"/>
          <w:sz w:val="24"/>
          <w:szCs w:val="24"/>
        </w:rPr>
        <w:t>elefónica</w:t>
      </w:r>
      <w:r>
        <w:rPr>
          <w:rFonts w:ascii="Arial" w:hAnsi="Arial" w:cs="Arial"/>
          <w:sz w:val="24"/>
          <w:szCs w:val="24"/>
        </w:rPr>
        <w:t xml:space="preserve"> dispondrá del canal de comunicación adecuado y de un centro de atención técnica que atenderá las averías identificadas por los </w:t>
      </w:r>
      <w:r w:rsidR="00A41886">
        <w:rPr>
          <w:rFonts w:ascii="Arial" w:hAnsi="Arial" w:cs="Arial"/>
          <w:sz w:val="24"/>
          <w:szCs w:val="24"/>
        </w:rPr>
        <w:t>operadores</w:t>
      </w:r>
      <w:r>
        <w:rPr>
          <w:rFonts w:ascii="Arial" w:hAnsi="Arial" w:cs="Arial"/>
          <w:sz w:val="24"/>
          <w:szCs w:val="24"/>
        </w:rPr>
        <w:t xml:space="preserve"> como consecuencia de una pérdida de la calidad percibida en una determinada conexión o cualquier otro motivo, con indicación del correspondiente síntoma. </w:t>
      </w:r>
    </w:p>
    <w:p w:rsidR="00E02C27" w:rsidRDefault="00E02C27" w:rsidP="00AF32C8">
      <w:pPr>
        <w:pStyle w:val="EstiloTtulo3"/>
      </w:pPr>
      <w:bookmarkStart w:id="96" w:name="_Toc444784487"/>
      <w:r>
        <w:t>Arquitectura del sistema de medida de la calidad</w:t>
      </w:r>
      <w:bookmarkEnd w:id="96"/>
    </w:p>
    <w:p w:rsidR="00E02C27" w:rsidRDefault="00E02C27" w:rsidP="00E5075D">
      <w:pPr>
        <w:spacing w:before="60" w:after="60"/>
        <w:ind w:left="425"/>
        <w:rPr>
          <w:rFonts w:ascii="Arial" w:hAnsi="Arial" w:cs="Arial"/>
          <w:sz w:val="24"/>
          <w:szCs w:val="24"/>
        </w:rPr>
      </w:pPr>
      <w:r>
        <w:rPr>
          <w:rFonts w:ascii="Arial" w:hAnsi="Arial" w:cs="Arial"/>
          <w:sz w:val="24"/>
          <w:szCs w:val="24"/>
        </w:rPr>
        <w:t xml:space="preserve">Para la medición de la calidad de la Red </w:t>
      </w:r>
      <w:r w:rsidR="003C0DF1">
        <w:rPr>
          <w:rFonts w:ascii="Arial" w:hAnsi="Arial" w:cs="Arial"/>
          <w:sz w:val="24"/>
          <w:szCs w:val="24"/>
        </w:rPr>
        <w:t>existe</w:t>
      </w:r>
      <w:r>
        <w:rPr>
          <w:rFonts w:ascii="Arial" w:hAnsi="Arial" w:cs="Arial"/>
          <w:sz w:val="24"/>
          <w:szCs w:val="24"/>
        </w:rPr>
        <w:t xml:space="preserve"> una solución basada en sondas conectadas a los nodos de acceso. La sonda es un equipo generador y medidor de tráfico  desarrollado específicamente conectado a la red objeto de medida.</w:t>
      </w:r>
      <w:r w:rsidR="00BC72D5">
        <w:rPr>
          <w:rFonts w:ascii="Arial" w:hAnsi="Arial" w:cs="Arial"/>
          <w:sz w:val="24"/>
          <w:szCs w:val="24"/>
        </w:rPr>
        <w:t xml:space="preserve"> </w:t>
      </w:r>
    </w:p>
    <w:p w:rsidR="00E02C27" w:rsidRDefault="00E02C27" w:rsidP="00E5075D">
      <w:pPr>
        <w:spacing w:before="60" w:after="60"/>
        <w:ind w:left="425"/>
        <w:rPr>
          <w:rFonts w:ascii="Arial" w:hAnsi="Arial" w:cs="Arial"/>
          <w:sz w:val="24"/>
          <w:szCs w:val="24"/>
        </w:rPr>
      </w:pPr>
      <w:r>
        <w:rPr>
          <w:rFonts w:ascii="Arial" w:hAnsi="Arial" w:cs="Arial"/>
          <w:sz w:val="24"/>
          <w:szCs w:val="24"/>
        </w:rPr>
        <w:t>Las sondas ejecutan de forma continua una serie de tests que permiten medir los parámetros de red (ANS comprometidos) necesarios para la prestación del servicio por parte del operador (pérdida de paquetes, retardo, jitter…).</w:t>
      </w:r>
    </w:p>
    <w:p w:rsidR="00E02C27" w:rsidRDefault="00E02C27" w:rsidP="00E5075D">
      <w:pPr>
        <w:spacing w:before="60" w:after="60"/>
        <w:ind w:left="425"/>
        <w:rPr>
          <w:rFonts w:ascii="Arial" w:hAnsi="Arial" w:cs="Arial"/>
          <w:sz w:val="24"/>
          <w:szCs w:val="24"/>
        </w:rPr>
      </w:pPr>
      <w:r>
        <w:rPr>
          <w:rFonts w:ascii="Arial" w:hAnsi="Arial" w:cs="Arial"/>
          <w:sz w:val="24"/>
          <w:szCs w:val="24"/>
        </w:rPr>
        <w:t xml:space="preserve">Las sondas están conectadas a la red NEBA para la ejecución de los tests programados, </w:t>
      </w:r>
      <w:r w:rsidR="009543E6">
        <w:rPr>
          <w:rFonts w:ascii="Arial" w:hAnsi="Arial" w:cs="Arial"/>
          <w:sz w:val="24"/>
          <w:szCs w:val="24"/>
        </w:rPr>
        <w:t xml:space="preserve">contarán con un servidor por provincia, </w:t>
      </w:r>
      <w:r>
        <w:rPr>
          <w:rFonts w:ascii="Arial" w:hAnsi="Arial" w:cs="Arial"/>
          <w:sz w:val="24"/>
          <w:szCs w:val="24"/>
        </w:rPr>
        <w:t>y volcarán la información del resultado de dichos tests de forma periódica en un sistema construido a tal efecto. Dicha información quedará almacenada en registros para su posterior recuperación a través de la petición de informes por parte del Operador.</w:t>
      </w:r>
    </w:p>
    <w:p w:rsidR="00C675CF" w:rsidRDefault="003C0DF1" w:rsidP="00E5075D">
      <w:pPr>
        <w:spacing w:before="60" w:after="60"/>
        <w:ind w:left="425"/>
        <w:rPr>
          <w:rFonts w:ascii="Arial" w:hAnsi="Arial" w:cs="Arial"/>
          <w:sz w:val="24"/>
          <w:szCs w:val="24"/>
        </w:rPr>
      </w:pPr>
      <w:r>
        <w:rPr>
          <w:rFonts w:ascii="Arial" w:hAnsi="Arial" w:cs="Arial"/>
          <w:sz w:val="24"/>
          <w:szCs w:val="24"/>
        </w:rPr>
        <w:t>Telefónica instalará</w:t>
      </w:r>
      <w:r w:rsidR="00C675CF" w:rsidRPr="00711F6C">
        <w:rPr>
          <w:rFonts w:ascii="Arial" w:hAnsi="Arial" w:cs="Arial"/>
          <w:sz w:val="24"/>
          <w:szCs w:val="24"/>
        </w:rPr>
        <w:t xml:space="preserve"> una sonda en aquellas centrales en las que se alcance el umbral de 400 conexiones de NEBA para tecnologías xDSL (NEBA cobre). Cada sonda deberá estar disponible antes de dos meses desde que se haya alcanzado el umbral</w:t>
      </w:r>
      <w:r w:rsidR="00C675CF">
        <w:rPr>
          <w:rFonts w:ascii="Arial" w:hAnsi="Arial" w:cs="Arial"/>
          <w:sz w:val="24"/>
          <w:szCs w:val="24"/>
        </w:rPr>
        <w:t>.</w:t>
      </w:r>
    </w:p>
    <w:p w:rsidR="00B52A5C" w:rsidRDefault="00C675CF" w:rsidP="00711F6C">
      <w:pPr>
        <w:spacing w:before="60" w:after="60"/>
        <w:ind w:left="425"/>
        <w:rPr>
          <w:rFonts w:ascii="Arial" w:hAnsi="Arial" w:cs="Arial"/>
          <w:sz w:val="24"/>
          <w:szCs w:val="24"/>
        </w:rPr>
      </w:pPr>
      <w:r w:rsidRPr="00C675CF">
        <w:rPr>
          <w:rFonts w:ascii="Arial" w:hAnsi="Arial" w:cs="Arial"/>
          <w:sz w:val="24"/>
          <w:szCs w:val="24"/>
        </w:rPr>
        <w:t>Siempre y cuando en una provincia o sector no haya ninguna sonda xDSL y se superen de forma agregada los 1000 usuarios de NEBA cobre en esa provincia o sector, se deberá instalar una sonda. La sonda se instalará en el DSLAM con mayor número de conexiones NEBA cobre, prioritariamente en zona no-OBA y no podrá coincidir con una central donde se sitúe un PAI. La sonda deberá estar disponible antes de dos meses desde que se haya alcanzado el umbral</w:t>
      </w:r>
      <w:r>
        <w:rPr>
          <w:rFonts w:ascii="Arial" w:hAnsi="Arial" w:cs="Arial"/>
          <w:sz w:val="24"/>
          <w:szCs w:val="24"/>
        </w:rPr>
        <w:t>.</w:t>
      </w:r>
    </w:p>
    <w:p w:rsidR="00B52A5C" w:rsidRDefault="00B52A5C" w:rsidP="00711F6C">
      <w:pPr>
        <w:spacing w:before="60" w:after="60"/>
        <w:ind w:left="425"/>
        <w:rPr>
          <w:rFonts w:ascii="Arial" w:hAnsi="Arial" w:cs="Arial"/>
          <w:sz w:val="24"/>
          <w:szCs w:val="24"/>
        </w:rPr>
      </w:pPr>
      <w:r>
        <w:rPr>
          <w:rFonts w:ascii="Arial" w:hAnsi="Arial" w:cs="Arial"/>
          <w:sz w:val="24"/>
          <w:szCs w:val="24"/>
        </w:rPr>
        <w:t>Existen</w:t>
      </w:r>
      <w:r w:rsidRPr="006657B0">
        <w:rPr>
          <w:rFonts w:ascii="Arial" w:hAnsi="Arial" w:cs="Arial"/>
          <w:sz w:val="24"/>
          <w:szCs w:val="24"/>
        </w:rPr>
        <w:t xml:space="preserve"> mecanismos equivalentes en los accesos GPON.</w:t>
      </w:r>
      <w:r>
        <w:rPr>
          <w:rFonts w:ascii="Arial" w:hAnsi="Arial" w:cs="Arial"/>
          <w:sz w:val="24"/>
          <w:szCs w:val="24"/>
        </w:rPr>
        <w:t xml:space="preserve"> </w:t>
      </w:r>
      <w:r w:rsidRPr="00C675CF">
        <w:rPr>
          <w:rFonts w:ascii="Arial" w:hAnsi="Arial" w:cs="Arial"/>
          <w:sz w:val="24"/>
          <w:szCs w:val="24"/>
        </w:rPr>
        <w:t>Telefónica instalará una sonda en aquellas centrales cabecera en las que se alcance el umbral de 400 conexiones de NEBA FTTH. Cada sonda deberá estar disponible antes de dos meses desde que se haya alcanzado el umbral.</w:t>
      </w:r>
    </w:p>
    <w:p w:rsidR="00B52A5C" w:rsidRDefault="00B52A5C">
      <w:pPr>
        <w:spacing w:before="60" w:after="60"/>
        <w:ind w:left="425"/>
        <w:rPr>
          <w:rFonts w:ascii="Arial" w:hAnsi="Arial" w:cs="Arial"/>
          <w:sz w:val="24"/>
          <w:szCs w:val="24"/>
        </w:rPr>
      </w:pPr>
      <w:r w:rsidRPr="00C675CF">
        <w:rPr>
          <w:rFonts w:ascii="Arial" w:hAnsi="Arial" w:cs="Arial"/>
          <w:sz w:val="24"/>
          <w:szCs w:val="24"/>
        </w:rPr>
        <w:t>Siempre y cuando en una provincia o sector no haya ninguna sonda FTTH y se superen de forma agregada los 1000 usuarios de NEBA fibra en esa provincia o sector, se deberá instalar una sonda. La sonda se instalará en la OLT con mayor número de conexiones NEBA fibra y no podrá coincidir con la central donde se sitúe el PAI. La sonda deberá estar disponible antes de dos meses desde que se haya alcanzado el umbral</w:t>
      </w:r>
      <w:r>
        <w:rPr>
          <w:rFonts w:ascii="Arial" w:hAnsi="Arial" w:cs="Arial"/>
          <w:sz w:val="24"/>
          <w:szCs w:val="24"/>
        </w:rPr>
        <w:t>.</w:t>
      </w:r>
    </w:p>
    <w:p w:rsidR="00C5446B" w:rsidRDefault="00C5446B">
      <w:pPr>
        <w:spacing w:before="60" w:after="60"/>
        <w:ind w:left="425"/>
        <w:rPr>
          <w:rFonts w:ascii="Arial" w:hAnsi="Arial" w:cs="Arial"/>
          <w:sz w:val="24"/>
          <w:szCs w:val="24"/>
        </w:rPr>
      </w:pPr>
      <w:r w:rsidRPr="00711F6C">
        <w:rPr>
          <w:rFonts w:ascii="Arial" w:hAnsi="Arial" w:cs="Arial"/>
          <w:sz w:val="24"/>
          <w:szCs w:val="24"/>
        </w:rPr>
        <w:t>La primera sonda de una provincia se podrá situar en la central cabecera que tenga más conexiones NEBA xDSL/FTTH y sea distinta al pPAI.</w:t>
      </w:r>
    </w:p>
    <w:p w:rsidR="00E02C27" w:rsidRDefault="00E02C27" w:rsidP="00E5075D">
      <w:pPr>
        <w:spacing w:before="60" w:after="60"/>
        <w:ind w:left="425"/>
        <w:rPr>
          <w:rFonts w:ascii="Arial" w:hAnsi="Arial" w:cs="Arial"/>
          <w:sz w:val="24"/>
          <w:szCs w:val="24"/>
        </w:rPr>
      </w:pPr>
      <w:r>
        <w:rPr>
          <w:rFonts w:ascii="Arial" w:hAnsi="Arial" w:cs="Arial"/>
          <w:sz w:val="24"/>
          <w:szCs w:val="24"/>
        </w:rPr>
        <w:t>La figura 8 muestra la arquitectura de red y recopilación de datos.</w:t>
      </w:r>
    </w:p>
    <w:p w:rsidR="00E02C27" w:rsidRDefault="00E02C27">
      <w:pPr>
        <w:spacing w:before="240" w:after="60"/>
        <w:ind w:left="0"/>
        <w:rPr>
          <w:rFonts w:ascii="Arial" w:hAnsi="Arial" w:cs="Arial"/>
          <w:sz w:val="24"/>
          <w:szCs w:val="24"/>
        </w:rPr>
      </w:pPr>
    </w:p>
    <w:p w:rsidR="00E02C27" w:rsidRDefault="00E5554F">
      <w:pPr>
        <w:keepNext/>
        <w:ind w:left="1254" w:hanging="545"/>
        <w:jc w:val="center"/>
      </w:pPr>
      <w:r>
        <w:rPr>
          <w:rFonts w:ascii="Arial" w:hAnsi="Arial" w:cs="Arial"/>
          <w:noProof/>
          <w:sz w:val="24"/>
          <w:szCs w:val="24"/>
        </w:rPr>
        <w:drawing>
          <wp:inline distT="0" distB="0" distL="0" distR="0" wp14:anchorId="6D52B9FA" wp14:editId="19B5A728">
            <wp:extent cx="5570220" cy="2385060"/>
            <wp:effectExtent l="0" t="0" r="0" b="0"/>
            <wp:docPr id="17" name="Imagen 17" descr="S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onda"/>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70220" cy="2385060"/>
                    </a:xfrm>
                    <a:prstGeom prst="rect">
                      <a:avLst/>
                    </a:prstGeom>
                    <a:noFill/>
                    <a:ln>
                      <a:noFill/>
                    </a:ln>
                  </pic:spPr>
                </pic:pic>
              </a:graphicData>
            </a:graphic>
          </wp:inline>
        </w:drawing>
      </w:r>
    </w:p>
    <w:p w:rsidR="00E02C27" w:rsidRDefault="00E02C27">
      <w:pPr>
        <w:pStyle w:val="Epgrafe"/>
        <w:jc w:val="center"/>
        <w:rPr>
          <w:rFonts w:ascii="Arial" w:hAnsi="Arial" w:cs="Arial"/>
          <w:sz w:val="22"/>
          <w:szCs w:val="22"/>
        </w:rPr>
      </w:pPr>
      <w:r>
        <w:rPr>
          <w:rFonts w:ascii="Arial" w:hAnsi="Arial" w:cs="Arial"/>
          <w:sz w:val="22"/>
          <w:szCs w:val="22"/>
        </w:rPr>
        <w:t xml:space="preserve">Figura </w:t>
      </w:r>
      <w:r>
        <w:rPr>
          <w:rFonts w:ascii="Arial" w:hAnsi="Arial" w:cs="Arial"/>
          <w:sz w:val="22"/>
          <w:szCs w:val="22"/>
        </w:rPr>
        <w:fldChar w:fldCharType="begin"/>
      </w:r>
      <w:r>
        <w:rPr>
          <w:rFonts w:ascii="Arial" w:hAnsi="Arial" w:cs="Arial"/>
          <w:sz w:val="22"/>
          <w:szCs w:val="22"/>
        </w:rPr>
        <w:instrText xml:space="preserve"> SEQ Figura \* ARABIC </w:instrText>
      </w:r>
      <w:r>
        <w:rPr>
          <w:rFonts w:ascii="Arial" w:hAnsi="Arial" w:cs="Arial"/>
          <w:sz w:val="22"/>
          <w:szCs w:val="22"/>
        </w:rPr>
        <w:fldChar w:fldCharType="separate"/>
      </w:r>
      <w:r w:rsidR="00115AB9">
        <w:rPr>
          <w:rFonts w:ascii="Arial" w:hAnsi="Arial" w:cs="Arial"/>
          <w:noProof/>
          <w:sz w:val="22"/>
          <w:szCs w:val="22"/>
        </w:rPr>
        <w:t>8</w:t>
      </w:r>
      <w:r>
        <w:rPr>
          <w:rFonts w:ascii="Arial" w:hAnsi="Arial" w:cs="Arial"/>
          <w:sz w:val="22"/>
          <w:szCs w:val="22"/>
        </w:rPr>
        <w:fldChar w:fldCharType="end"/>
      </w:r>
      <w:r>
        <w:rPr>
          <w:rFonts w:ascii="Arial" w:hAnsi="Arial" w:cs="Arial"/>
          <w:sz w:val="22"/>
          <w:szCs w:val="22"/>
        </w:rPr>
        <w:t>: Arquitectura Sondas</w:t>
      </w:r>
    </w:p>
    <w:p w:rsidR="00E50BC5" w:rsidRDefault="00E50BC5">
      <w:pPr>
        <w:spacing w:before="240" w:after="60"/>
        <w:ind w:left="709"/>
        <w:rPr>
          <w:rFonts w:ascii="Arial" w:hAnsi="Arial" w:cs="Arial"/>
          <w:sz w:val="24"/>
          <w:szCs w:val="24"/>
        </w:rPr>
      </w:pPr>
    </w:p>
    <w:p w:rsidR="00DD7B63" w:rsidRDefault="00E50BC5" w:rsidP="00711F6C">
      <w:pPr>
        <w:spacing w:before="60" w:after="60"/>
        <w:ind w:left="709"/>
        <w:rPr>
          <w:rFonts w:ascii="Arial" w:hAnsi="Arial" w:cs="Arial"/>
          <w:sz w:val="24"/>
          <w:szCs w:val="24"/>
        </w:rPr>
      </w:pPr>
      <w:r w:rsidRPr="00E50BC5">
        <w:rPr>
          <w:rFonts w:ascii="Arial" w:hAnsi="Arial" w:cs="Arial"/>
          <w:sz w:val="24"/>
          <w:szCs w:val="24"/>
        </w:rPr>
        <w:t xml:space="preserve">Telefónica deberá: </w:t>
      </w:r>
    </w:p>
    <w:p w:rsidR="00DD7B63" w:rsidRDefault="00E50BC5" w:rsidP="00711F6C">
      <w:pPr>
        <w:pStyle w:val="Prrafodelista"/>
        <w:numPr>
          <w:ilvl w:val="0"/>
          <w:numId w:val="84"/>
        </w:numPr>
        <w:spacing w:before="60" w:after="60"/>
        <w:rPr>
          <w:rFonts w:ascii="Arial" w:hAnsi="Arial" w:cs="Arial"/>
          <w:sz w:val="24"/>
          <w:szCs w:val="24"/>
        </w:rPr>
      </w:pPr>
      <w:r w:rsidRPr="00711F6C">
        <w:rPr>
          <w:rFonts w:ascii="Arial" w:hAnsi="Arial" w:cs="Arial"/>
          <w:sz w:val="24"/>
          <w:szCs w:val="24"/>
        </w:rPr>
        <w:t xml:space="preserve">Configurar el acceso xDSL/FTTH con las soluciones más demandadas por los operadores alternativos. </w:t>
      </w:r>
    </w:p>
    <w:p w:rsidR="00DD7B63" w:rsidRDefault="001D336E" w:rsidP="00711F6C">
      <w:pPr>
        <w:pStyle w:val="Prrafodelista"/>
        <w:numPr>
          <w:ilvl w:val="0"/>
          <w:numId w:val="84"/>
        </w:numPr>
        <w:spacing w:before="60" w:after="60"/>
        <w:rPr>
          <w:rFonts w:ascii="Arial" w:hAnsi="Arial" w:cs="Arial"/>
          <w:sz w:val="24"/>
          <w:szCs w:val="24"/>
        </w:rPr>
      </w:pPr>
      <w:r w:rsidRPr="00711F6C">
        <w:rPr>
          <w:rFonts w:ascii="Arial" w:hAnsi="Arial" w:cs="Arial"/>
          <w:sz w:val="24"/>
          <w:szCs w:val="24"/>
        </w:rPr>
        <w:t>D</w:t>
      </w:r>
      <w:r w:rsidR="00E50BC5" w:rsidRPr="00711F6C">
        <w:rPr>
          <w:rFonts w:ascii="Arial" w:hAnsi="Arial" w:cs="Arial"/>
          <w:sz w:val="24"/>
          <w:szCs w:val="24"/>
        </w:rPr>
        <w:t xml:space="preserve">isponer que la longitud del bucle xDSL sea de 1200 metros. </w:t>
      </w:r>
    </w:p>
    <w:p w:rsidR="00E50BC5" w:rsidRPr="00711F6C" w:rsidRDefault="00E50BC5" w:rsidP="00711F6C">
      <w:pPr>
        <w:pStyle w:val="Prrafodelista"/>
        <w:numPr>
          <w:ilvl w:val="0"/>
          <w:numId w:val="84"/>
        </w:numPr>
        <w:spacing w:before="60" w:after="60"/>
        <w:rPr>
          <w:rFonts w:ascii="Arial" w:hAnsi="Arial" w:cs="Arial"/>
          <w:sz w:val="24"/>
          <w:szCs w:val="24"/>
        </w:rPr>
      </w:pPr>
      <w:r w:rsidRPr="00711F6C">
        <w:rPr>
          <w:rFonts w:ascii="Arial" w:hAnsi="Arial" w:cs="Arial"/>
          <w:sz w:val="24"/>
          <w:szCs w:val="24"/>
        </w:rPr>
        <w:t>Realizar la medición de la calidad con tráficos simultáneos que incluyan best effort, oro y real-time.</w:t>
      </w:r>
    </w:p>
    <w:p w:rsidR="006C0DCE" w:rsidRDefault="006C0DCE" w:rsidP="00711F6C">
      <w:pPr>
        <w:spacing w:before="60" w:after="60"/>
        <w:ind w:left="709"/>
        <w:rPr>
          <w:rFonts w:ascii="Arial" w:hAnsi="Arial" w:cs="Arial"/>
          <w:sz w:val="24"/>
          <w:szCs w:val="24"/>
        </w:rPr>
      </w:pPr>
      <w:r w:rsidRPr="00711F6C">
        <w:rPr>
          <w:rFonts w:ascii="Arial" w:hAnsi="Arial" w:cs="Arial"/>
          <w:sz w:val="24"/>
          <w:szCs w:val="24"/>
        </w:rPr>
        <w:t xml:space="preserve">Cuando la sonda no cubra la casuística mayoritaria de usuarios NEBA y exista un perfil en NEBA con calidad más exigente que pueda ser implementado de forma directa, se podrá utilizar éste. Cuando la longitud del bucle impida conseguir el perfil de sincronización mínimo, se podrá reducir la longitud del bucle, previa comunicación </w:t>
      </w:r>
      <w:r w:rsidR="00AD5C0C">
        <w:rPr>
          <w:rFonts w:ascii="Arial" w:hAnsi="Arial" w:cs="Arial"/>
          <w:sz w:val="24"/>
          <w:szCs w:val="24"/>
        </w:rPr>
        <w:t xml:space="preserve">a </w:t>
      </w:r>
      <w:r>
        <w:rPr>
          <w:rFonts w:ascii="Arial" w:hAnsi="Arial" w:cs="Arial"/>
          <w:sz w:val="24"/>
          <w:szCs w:val="24"/>
        </w:rPr>
        <w:t>la CNMC.</w:t>
      </w:r>
    </w:p>
    <w:p w:rsidR="001D336E" w:rsidRDefault="001D336E" w:rsidP="00711F6C">
      <w:pPr>
        <w:spacing w:before="60" w:after="60"/>
        <w:ind w:left="709"/>
        <w:rPr>
          <w:rFonts w:ascii="Arial" w:hAnsi="Arial" w:cs="Arial"/>
          <w:sz w:val="24"/>
          <w:szCs w:val="24"/>
        </w:rPr>
      </w:pPr>
      <w:r w:rsidRPr="001D336E">
        <w:rPr>
          <w:rFonts w:ascii="Arial" w:hAnsi="Arial" w:cs="Arial"/>
          <w:sz w:val="24"/>
          <w:szCs w:val="24"/>
        </w:rPr>
        <w:t xml:space="preserve">Telefónica pondrá a disposición de los operadores dos tipos de ficheros en formato texto. En ellos se mostrarán las medidas obtenidas de pérdida de paquetes, retardo y jitter del tráfico, para cada una de las calidades entre el servidor y cada una de las sondas de una manera detallada y agregada:  </w:t>
      </w:r>
    </w:p>
    <w:p w:rsidR="001D336E" w:rsidRDefault="001D336E" w:rsidP="00711F6C">
      <w:pPr>
        <w:pStyle w:val="Prrafodelista"/>
        <w:numPr>
          <w:ilvl w:val="0"/>
          <w:numId w:val="81"/>
        </w:numPr>
        <w:spacing w:before="60" w:after="60"/>
        <w:rPr>
          <w:rFonts w:ascii="Arial" w:hAnsi="Arial" w:cs="Arial"/>
          <w:sz w:val="24"/>
          <w:szCs w:val="24"/>
        </w:rPr>
      </w:pPr>
      <w:r w:rsidRPr="00711F6C">
        <w:rPr>
          <w:rFonts w:ascii="Arial" w:hAnsi="Arial" w:cs="Arial"/>
          <w:sz w:val="24"/>
          <w:szCs w:val="24"/>
        </w:rPr>
        <w:t>Datos de todas las medidas efectuadas de los últimos 30 días.</w:t>
      </w:r>
    </w:p>
    <w:p w:rsidR="001D336E" w:rsidRPr="00711F6C" w:rsidRDefault="001D336E" w:rsidP="00711F6C">
      <w:pPr>
        <w:pStyle w:val="Prrafodelista"/>
        <w:numPr>
          <w:ilvl w:val="0"/>
          <w:numId w:val="81"/>
        </w:numPr>
        <w:spacing w:before="60" w:after="60"/>
        <w:rPr>
          <w:rFonts w:ascii="Arial" w:hAnsi="Arial" w:cs="Arial"/>
          <w:sz w:val="24"/>
          <w:szCs w:val="24"/>
        </w:rPr>
      </w:pPr>
      <w:r w:rsidRPr="00711F6C">
        <w:rPr>
          <w:rFonts w:ascii="Arial" w:hAnsi="Arial" w:cs="Arial"/>
          <w:sz w:val="24"/>
          <w:szCs w:val="24"/>
        </w:rPr>
        <w:t xml:space="preserve">Datos agrupados por hora, mes y día de los últimos 5 años (tres ficheros).  </w:t>
      </w:r>
    </w:p>
    <w:p w:rsidR="001D336E" w:rsidRDefault="001D336E" w:rsidP="00711F6C">
      <w:pPr>
        <w:spacing w:before="60" w:after="60"/>
        <w:ind w:left="709"/>
        <w:rPr>
          <w:rFonts w:ascii="Arial" w:hAnsi="Arial" w:cs="Arial"/>
          <w:sz w:val="24"/>
          <w:szCs w:val="24"/>
        </w:rPr>
      </w:pPr>
      <w:r w:rsidRPr="001D336E">
        <w:rPr>
          <w:rFonts w:ascii="Arial" w:hAnsi="Arial" w:cs="Arial"/>
          <w:sz w:val="24"/>
          <w:szCs w:val="24"/>
        </w:rPr>
        <w:t>Con respecto a los datos proporcionados, Telefónica reportará los siguientes indicadores:</w:t>
      </w:r>
    </w:p>
    <w:p w:rsidR="001D336E" w:rsidRDefault="001D336E" w:rsidP="00711F6C">
      <w:pPr>
        <w:pStyle w:val="Prrafodelista"/>
        <w:numPr>
          <w:ilvl w:val="0"/>
          <w:numId w:val="83"/>
        </w:numPr>
        <w:spacing w:before="60" w:after="60"/>
        <w:rPr>
          <w:rFonts w:ascii="Arial" w:hAnsi="Arial" w:cs="Arial"/>
          <w:sz w:val="24"/>
          <w:szCs w:val="24"/>
        </w:rPr>
      </w:pPr>
      <w:r w:rsidRPr="00711F6C">
        <w:rPr>
          <w:rFonts w:ascii="Arial" w:hAnsi="Arial" w:cs="Arial"/>
          <w:sz w:val="24"/>
          <w:szCs w:val="24"/>
        </w:rPr>
        <w:t>Fecha de medida (DD/MM/AAAA, hh/mm/ss)</w:t>
      </w:r>
    </w:p>
    <w:p w:rsidR="001D336E" w:rsidRDefault="001D336E" w:rsidP="00711F6C">
      <w:pPr>
        <w:pStyle w:val="Prrafodelista"/>
        <w:numPr>
          <w:ilvl w:val="0"/>
          <w:numId w:val="83"/>
        </w:numPr>
        <w:spacing w:before="60" w:after="60"/>
        <w:rPr>
          <w:rFonts w:ascii="Arial" w:hAnsi="Arial" w:cs="Arial"/>
          <w:sz w:val="24"/>
          <w:szCs w:val="24"/>
        </w:rPr>
      </w:pPr>
      <w:r w:rsidRPr="00711F6C">
        <w:rPr>
          <w:rFonts w:ascii="Arial" w:hAnsi="Arial" w:cs="Arial"/>
          <w:sz w:val="24"/>
          <w:szCs w:val="24"/>
        </w:rPr>
        <w:t>Provincia</w:t>
      </w:r>
    </w:p>
    <w:p w:rsidR="001D336E" w:rsidRDefault="001D336E" w:rsidP="00711F6C">
      <w:pPr>
        <w:pStyle w:val="Prrafodelista"/>
        <w:numPr>
          <w:ilvl w:val="0"/>
          <w:numId w:val="83"/>
        </w:numPr>
        <w:spacing w:before="60" w:after="60"/>
        <w:rPr>
          <w:rFonts w:ascii="Arial" w:hAnsi="Arial" w:cs="Arial"/>
          <w:sz w:val="24"/>
          <w:szCs w:val="24"/>
        </w:rPr>
      </w:pPr>
      <w:r w:rsidRPr="00711F6C">
        <w:rPr>
          <w:rFonts w:ascii="Arial" w:hAnsi="Arial" w:cs="Arial"/>
          <w:sz w:val="24"/>
          <w:szCs w:val="24"/>
        </w:rPr>
        <w:t>Tecnología</w:t>
      </w:r>
    </w:p>
    <w:p w:rsidR="001D336E" w:rsidRDefault="001D336E" w:rsidP="00711F6C">
      <w:pPr>
        <w:pStyle w:val="Prrafodelista"/>
        <w:numPr>
          <w:ilvl w:val="0"/>
          <w:numId w:val="83"/>
        </w:numPr>
        <w:spacing w:before="60" w:after="60"/>
        <w:rPr>
          <w:rFonts w:ascii="Arial" w:hAnsi="Arial" w:cs="Arial"/>
          <w:sz w:val="24"/>
          <w:szCs w:val="24"/>
        </w:rPr>
      </w:pPr>
      <w:r w:rsidRPr="00711F6C">
        <w:rPr>
          <w:rFonts w:ascii="Arial" w:hAnsi="Arial" w:cs="Arial"/>
          <w:sz w:val="24"/>
          <w:szCs w:val="24"/>
        </w:rPr>
        <w:t>QoS (BE, Oro, RT)</w:t>
      </w:r>
    </w:p>
    <w:p w:rsidR="001D336E" w:rsidRPr="00711F6C" w:rsidRDefault="001D336E" w:rsidP="00711F6C">
      <w:pPr>
        <w:pStyle w:val="Prrafodelista"/>
        <w:numPr>
          <w:ilvl w:val="0"/>
          <w:numId w:val="83"/>
        </w:numPr>
        <w:spacing w:before="60" w:after="60"/>
        <w:rPr>
          <w:rFonts w:ascii="Arial" w:hAnsi="Arial" w:cs="Arial"/>
          <w:sz w:val="24"/>
          <w:szCs w:val="24"/>
        </w:rPr>
      </w:pPr>
      <w:r w:rsidRPr="00711F6C">
        <w:rPr>
          <w:rFonts w:ascii="Arial" w:hAnsi="Arial" w:cs="Arial"/>
          <w:sz w:val="24"/>
          <w:szCs w:val="24"/>
        </w:rPr>
        <w:t>Valor pérdida de tramas</w:t>
      </w:r>
      <w:r w:rsidR="005B4AD7" w:rsidRPr="005B4AD7">
        <w:rPr>
          <w:rFonts w:ascii="Arial" w:hAnsi="Arial" w:cs="Arial"/>
          <w:sz w:val="24"/>
          <w:szCs w:val="24"/>
        </w:rPr>
        <w:t xml:space="preserve">, </w:t>
      </w:r>
      <w:r w:rsidRPr="00711F6C">
        <w:rPr>
          <w:rFonts w:ascii="Arial" w:hAnsi="Arial" w:cs="Arial"/>
          <w:sz w:val="24"/>
          <w:szCs w:val="24"/>
        </w:rPr>
        <w:t>retardo</w:t>
      </w:r>
      <w:r w:rsidR="005B4AD7" w:rsidRPr="005B4AD7">
        <w:rPr>
          <w:rFonts w:ascii="Arial" w:hAnsi="Arial" w:cs="Arial"/>
          <w:sz w:val="24"/>
          <w:szCs w:val="24"/>
        </w:rPr>
        <w:t xml:space="preserve"> y jitter</w:t>
      </w:r>
      <w:r w:rsidR="005B4AD7">
        <w:rPr>
          <w:rFonts w:ascii="Arial" w:hAnsi="Arial" w:cs="Arial"/>
          <w:sz w:val="24"/>
          <w:szCs w:val="24"/>
        </w:rPr>
        <w:t xml:space="preserve">. </w:t>
      </w:r>
      <w:r w:rsidR="005B4AD7" w:rsidRPr="005B4AD7">
        <w:rPr>
          <w:rFonts w:ascii="Arial" w:hAnsi="Arial" w:cs="Arial"/>
          <w:sz w:val="24"/>
          <w:szCs w:val="24"/>
        </w:rPr>
        <w:t>En los ficheros agregados se proporciona el valor medio y percentil 95 a nivel nacional.</w:t>
      </w:r>
    </w:p>
    <w:p w:rsidR="001D336E" w:rsidRPr="001D336E" w:rsidRDefault="001D336E" w:rsidP="00711F6C">
      <w:pPr>
        <w:spacing w:before="60" w:after="60"/>
        <w:ind w:left="709"/>
        <w:rPr>
          <w:rFonts w:ascii="Arial" w:hAnsi="Arial" w:cs="Arial"/>
          <w:sz w:val="24"/>
          <w:szCs w:val="24"/>
        </w:rPr>
      </w:pPr>
      <w:r w:rsidRPr="001D336E">
        <w:rPr>
          <w:rFonts w:ascii="Arial" w:hAnsi="Arial" w:cs="Arial"/>
          <w:sz w:val="24"/>
          <w:szCs w:val="24"/>
        </w:rPr>
        <w:t xml:space="preserve">Telefónica deberá proceder con la remisión de los datos con una cadencia mínima de 1 día y éstos no podrán ser alterados antes de ser remitidos al conjunto de operadores.  La toma de medidas desde cada una de las sondas tendrá una frecuencia de 5 minutos, valor que podrá revisarse en base a la experiencia adquirida. La medida deberá incluir un identificador del equipo de acceso que permita conocer desde dónde se han efectuado las mediciones. </w:t>
      </w:r>
    </w:p>
    <w:p w:rsidR="006B72FF" w:rsidRDefault="001D336E" w:rsidP="00711F6C">
      <w:pPr>
        <w:spacing w:before="60" w:after="60"/>
        <w:ind w:left="709"/>
        <w:rPr>
          <w:rFonts w:ascii="Arial" w:hAnsi="Arial" w:cs="Arial"/>
          <w:sz w:val="24"/>
          <w:szCs w:val="24"/>
        </w:rPr>
      </w:pPr>
      <w:r w:rsidRPr="001D336E">
        <w:rPr>
          <w:rFonts w:ascii="Arial" w:hAnsi="Arial" w:cs="Arial"/>
          <w:sz w:val="24"/>
          <w:szCs w:val="24"/>
        </w:rPr>
        <w:t>Ante la instalación de una sonda, Telefónica deberá reportar a los operadores cómo se va a realizar la toma de las medidas de la línea de acceso y el volumen de tráfico transferido por calidad desde la sonda hacia el PAI para cada uno de los sentidos de la red. Siempre y cuando haya una modificación del sistema, Telefónica deberá informar a los operadores.</w:t>
      </w:r>
    </w:p>
    <w:p w:rsidR="001D336E" w:rsidRDefault="006B72FF" w:rsidP="00711F6C">
      <w:pPr>
        <w:spacing w:before="60" w:after="60"/>
        <w:ind w:left="709"/>
        <w:rPr>
          <w:rFonts w:ascii="Arial" w:hAnsi="Arial" w:cs="Arial"/>
          <w:sz w:val="24"/>
          <w:szCs w:val="24"/>
        </w:rPr>
      </w:pPr>
      <w:r>
        <w:rPr>
          <w:rFonts w:ascii="Arial" w:hAnsi="Arial" w:cs="Arial"/>
          <w:sz w:val="24"/>
          <w:szCs w:val="24"/>
        </w:rPr>
        <w:t>Habrá u</w:t>
      </w:r>
      <w:r w:rsidRPr="00711F6C">
        <w:rPr>
          <w:rFonts w:ascii="Arial" w:hAnsi="Arial" w:cs="Arial"/>
          <w:sz w:val="24"/>
          <w:szCs w:val="24"/>
        </w:rPr>
        <w:t>na entrega diaria de los datos de monitorización de la calidad de la red a través de NEON.</w:t>
      </w:r>
      <w:r>
        <w:rPr>
          <w:rFonts w:ascii="Arial" w:hAnsi="Arial" w:cs="Arial"/>
          <w:sz w:val="24"/>
          <w:szCs w:val="24"/>
        </w:rPr>
        <w:t xml:space="preserve"> </w:t>
      </w:r>
      <w:r w:rsidRPr="00711F6C">
        <w:rPr>
          <w:rFonts w:ascii="Arial" w:hAnsi="Arial" w:cs="Arial"/>
          <w:sz w:val="24"/>
          <w:szCs w:val="24"/>
        </w:rPr>
        <w:t>Telefónica no podrá eliminar ni alterar medidas de las muestras realizadas</w:t>
      </w:r>
      <w:r>
        <w:rPr>
          <w:rFonts w:ascii="Arial" w:hAnsi="Arial" w:cs="Arial"/>
          <w:sz w:val="24"/>
          <w:szCs w:val="24"/>
        </w:rPr>
        <w:t>, y</w:t>
      </w:r>
      <w:r w:rsidRPr="00711F6C">
        <w:rPr>
          <w:rFonts w:ascii="Arial" w:hAnsi="Arial" w:cs="Arial"/>
          <w:sz w:val="24"/>
          <w:szCs w:val="24"/>
        </w:rPr>
        <w:t xml:space="preserve"> podrá justificar a posteriori aquellas medidas que no mantengan relación con la calidad de servicio.</w:t>
      </w:r>
    </w:p>
    <w:p w:rsidR="00D56427" w:rsidRDefault="00D56427" w:rsidP="00711F6C">
      <w:pPr>
        <w:spacing w:before="60" w:after="60"/>
        <w:ind w:left="709"/>
        <w:rPr>
          <w:rFonts w:ascii="Arial" w:hAnsi="Arial" w:cs="Arial"/>
          <w:sz w:val="24"/>
          <w:szCs w:val="24"/>
        </w:rPr>
      </w:pPr>
    </w:p>
    <w:p w:rsidR="00D56427" w:rsidRDefault="00D56427" w:rsidP="00711F6C">
      <w:pPr>
        <w:spacing w:before="60" w:after="60"/>
        <w:ind w:left="709"/>
        <w:rPr>
          <w:rFonts w:ascii="Arial" w:hAnsi="Arial" w:cs="Arial"/>
          <w:b/>
          <w:sz w:val="24"/>
          <w:szCs w:val="24"/>
        </w:rPr>
      </w:pPr>
      <w:r w:rsidRPr="00711F6C">
        <w:rPr>
          <w:rFonts w:ascii="Arial" w:hAnsi="Arial" w:cs="Arial"/>
          <w:b/>
          <w:sz w:val="24"/>
          <w:szCs w:val="24"/>
        </w:rPr>
        <w:t>Incidencias de averías</w:t>
      </w:r>
    </w:p>
    <w:p w:rsidR="00D56427" w:rsidRDefault="00D56427" w:rsidP="00711F6C">
      <w:pPr>
        <w:spacing w:before="60" w:after="60"/>
        <w:ind w:left="709"/>
        <w:rPr>
          <w:rFonts w:ascii="Arial" w:hAnsi="Arial" w:cs="Arial"/>
          <w:b/>
          <w:sz w:val="24"/>
          <w:szCs w:val="24"/>
        </w:rPr>
      </w:pPr>
      <w:r w:rsidRPr="00D56427">
        <w:rPr>
          <w:rFonts w:ascii="Arial" w:hAnsi="Arial" w:cs="Arial"/>
          <w:sz w:val="24"/>
          <w:szCs w:val="24"/>
        </w:rPr>
        <w:t xml:space="preserve">Telefónica dispondrá del canal de comunicación adecuado y de un centro de atención técnica que atenderá las averías identificadas por los operadores como consecuencia de una merma de la calidad percibida para una determinada conexión o por cualquier otro motivo, con la descripción del problema identificado. </w:t>
      </w:r>
    </w:p>
    <w:p w:rsidR="00D56427" w:rsidRDefault="00D56427" w:rsidP="00711F6C">
      <w:pPr>
        <w:spacing w:before="60" w:after="60"/>
        <w:ind w:left="709"/>
        <w:rPr>
          <w:rFonts w:ascii="Arial" w:hAnsi="Arial" w:cs="Arial"/>
          <w:b/>
          <w:sz w:val="24"/>
          <w:szCs w:val="24"/>
        </w:rPr>
      </w:pPr>
      <w:r w:rsidRPr="00D56427">
        <w:rPr>
          <w:rFonts w:ascii="Arial" w:hAnsi="Arial" w:cs="Arial"/>
          <w:sz w:val="24"/>
          <w:szCs w:val="24"/>
        </w:rPr>
        <w:t xml:space="preserve">Ante la apertura de una avería por degradación de la calidad, el operador deberá especificar claramente las calidades impactadas. En dicho proceso se evaluarán las características del tráfico de la VLAN del cliente en cuanto a la velocidad, pérdida de paquetes, etc. de las calidades de servicio incluidas en la conexión o VLAN (BE, ORO y RT). </w:t>
      </w:r>
    </w:p>
    <w:p w:rsidR="00D56427" w:rsidRDefault="00D56427" w:rsidP="00711F6C">
      <w:pPr>
        <w:spacing w:before="60" w:after="60"/>
        <w:ind w:left="709"/>
        <w:rPr>
          <w:rFonts w:ascii="Arial" w:hAnsi="Arial" w:cs="Arial"/>
          <w:b/>
          <w:sz w:val="24"/>
          <w:szCs w:val="24"/>
        </w:rPr>
      </w:pPr>
      <w:r w:rsidRPr="00D56427">
        <w:rPr>
          <w:rFonts w:ascii="Arial" w:hAnsi="Arial" w:cs="Arial"/>
          <w:sz w:val="24"/>
          <w:szCs w:val="24"/>
        </w:rPr>
        <w:t xml:space="preserve">Telefónica deberá proceder con la resolución de la incidencia en el tiempo establecido considerando que son incidencias de prioridad media con sus consecuentes penalizaciones. El tiempo transcurrido desde la apertura de la incidencia por el operador autorizado hasta que la avería ha sido subsanada se contabilizará para la determinación de penalizaciones. </w:t>
      </w:r>
    </w:p>
    <w:p w:rsidR="00D56427" w:rsidRDefault="00D56427" w:rsidP="00711F6C">
      <w:pPr>
        <w:spacing w:before="60" w:after="60"/>
        <w:ind w:left="709"/>
        <w:rPr>
          <w:rFonts w:ascii="Arial" w:hAnsi="Arial" w:cs="Arial"/>
          <w:b/>
          <w:sz w:val="24"/>
          <w:szCs w:val="24"/>
        </w:rPr>
      </w:pPr>
      <w:r w:rsidRPr="00D56427">
        <w:rPr>
          <w:rFonts w:ascii="Arial" w:hAnsi="Arial" w:cs="Arial"/>
          <w:sz w:val="24"/>
          <w:szCs w:val="24"/>
        </w:rPr>
        <w:t xml:space="preserve">Telefónica y el operador deberán acordar la toma de medidas antes y después de la resolución de la incidencia para depurar responsabilidades: </w:t>
      </w:r>
    </w:p>
    <w:p w:rsidR="00D56427" w:rsidRPr="00711F6C" w:rsidRDefault="00D56427" w:rsidP="00711F6C">
      <w:pPr>
        <w:pStyle w:val="Prrafodelista"/>
        <w:numPr>
          <w:ilvl w:val="0"/>
          <w:numId w:val="86"/>
        </w:numPr>
        <w:spacing w:before="60" w:after="60"/>
        <w:rPr>
          <w:rFonts w:ascii="Arial" w:hAnsi="Arial" w:cs="Arial"/>
          <w:b/>
          <w:sz w:val="24"/>
          <w:szCs w:val="24"/>
        </w:rPr>
      </w:pPr>
      <w:r w:rsidRPr="00711F6C">
        <w:rPr>
          <w:rFonts w:ascii="Arial" w:hAnsi="Arial" w:cs="Arial"/>
          <w:sz w:val="24"/>
          <w:szCs w:val="24"/>
        </w:rPr>
        <w:t>Siempre y cuando haya una incidencia, Telefónica deberá reportar con carácter inmediato las medidas de las sondas de esa central, si la hubiere.</w:t>
      </w:r>
    </w:p>
    <w:p w:rsidR="00D56427" w:rsidRPr="00711F6C" w:rsidRDefault="00D56427" w:rsidP="00711F6C">
      <w:pPr>
        <w:pStyle w:val="Prrafodelista"/>
        <w:numPr>
          <w:ilvl w:val="0"/>
          <w:numId w:val="86"/>
        </w:numPr>
        <w:spacing w:before="60" w:after="60"/>
        <w:rPr>
          <w:rFonts w:ascii="Arial" w:hAnsi="Arial" w:cs="Arial"/>
          <w:b/>
          <w:sz w:val="24"/>
          <w:szCs w:val="24"/>
        </w:rPr>
      </w:pPr>
      <w:r w:rsidRPr="00711F6C">
        <w:rPr>
          <w:rFonts w:ascii="Arial" w:hAnsi="Arial" w:cs="Arial"/>
          <w:sz w:val="24"/>
          <w:szCs w:val="24"/>
        </w:rPr>
        <w:t>Siempre y cuando ocurra una incidencia, Telefónica deberá acordar con el operador el proceso de verificación de la calidad del segmento. Deberá como mínimo aportar las medidas de calidad que se realicen antes y después de la resolución de la incidencia.</w:t>
      </w:r>
    </w:p>
    <w:p w:rsidR="00E02C27" w:rsidRDefault="00E02C27" w:rsidP="00FB34FD">
      <w:pPr>
        <w:pStyle w:val="Prrafodelista"/>
        <w:rPr>
          <w:rFonts w:ascii="Arial" w:hAnsi="Arial" w:cs="Arial"/>
          <w:sz w:val="24"/>
          <w:szCs w:val="24"/>
        </w:rPr>
      </w:pPr>
    </w:p>
    <w:p w:rsidR="00E02C27" w:rsidRDefault="00E02C27">
      <w:pPr>
        <w:pStyle w:val="EstiloTtulo1"/>
      </w:pPr>
      <w:bookmarkStart w:id="97" w:name="_Toc444784488"/>
      <w:r>
        <w:t>PRUEBAS</w:t>
      </w:r>
      <w:bookmarkEnd w:id="97"/>
    </w:p>
    <w:p w:rsidR="00E02C27" w:rsidRDefault="00FF7EBF" w:rsidP="006657B0">
      <w:pPr>
        <w:spacing w:before="240" w:after="240"/>
        <w:ind w:left="425"/>
        <w:rPr>
          <w:rFonts w:ascii="Arial" w:hAnsi="Arial" w:cs="Arial"/>
          <w:sz w:val="24"/>
          <w:szCs w:val="24"/>
        </w:rPr>
      </w:pPr>
      <w:r>
        <w:rPr>
          <w:rFonts w:ascii="Arial" w:hAnsi="Arial" w:cs="Arial"/>
          <w:sz w:val="24"/>
          <w:szCs w:val="24"/>
        </w:rPr>
        <w:t>L</w:t>
      </w:r>
      <w:r w:rsidR="00E02C27">
        <w:rPr>
          <w:rFonts w:ascii="Arial" w:hAnsi="Arial" w:cs="Arial"/>
          <w:sz w:val="24"/>
          <w:szCs w:val="24"/>
        </w:rPr>
        <w:t xml:space="preserve">os </w:t>
      </w:r>
      <w:r w:rsidR="00A41886">
        <w:rPr>
          <w:rFonts w:ascii="Arial" w:hAnsi="Arial" w:cs="Arial"/>
          <w:sz w:val="24"/>
          <w:szCs w:val="24"/>
        </w:rPr>
        <w:t>operadores</w:t>
      </w:r>
      <w:r w:rsidR="00E02C27">
        <w:rPr>
          <w:rFonts w:ascii="Arial" w:hAnsi="Arial" w:cs="Arial"/>
          <w:sz w:val="24"/>
          <w:szCs w:val="24"/>
        </w:rPr>
        <w:t xml:space="preserve"> </w:t>
      </w:r>
      <w:r>
        <w:rPr>
          <w:rFonts w:ascii="Arial" w:hAnsi="Arial" w:cs="Arial"/>
          <w:sz w:val="24"/>
          <w:szCs w:val="24"/>
        </w:rPr>
        <w:t xml:space="preserve">podrán </w:t>
      </w:r>
      <w:r w:rsidR="00E02C27">
        <w:rPr>
          <w:rFonts w:ascii="Arial" w:hAnsi="Arial" w:cs="Arial"/>
          <w:sz w:val="24"/>
          <w:szCs w:val="24"/>
        </w:rPr>
        <w:t xml:space="preserve">realizar las pruebas necesarias para garantizar la correcta integración entre sus sistemas y los de Telefónica </w:t>
      </w:r>
      <w:r w:rsidR="00A63429">
        <w:rPr>
          <w:rFonts w:ascii="Arial" w:hAnsi="Arial" w:cs="Arial"/>
          <w:sz w:val="24"/>
          <w:szCs w:val="24"/>
        </w:rPr>
        <w:t xml:space="preserve">por medio </w:t>
      </w:r>
      <w:r w:rsidR="00E02C27">
        <w:rPr>
          <w:rFonts w:ascii="Arial" w:hAnsi="Arial" w:cs="Arial"/>
          <w:sz w:val="24"/>
          <w:szCs w:val="24"/>
        </w:rPr>
        <w:t xml:space="preserve">de un entorno de pruebas para los </w:t>
      </w:r>
      <w:r w:rsidR="00E02C27" w:rsidRPr="00B906ED">
        <w:rPr>
          <w:rFonts w:ascii="Arial" w:hAnsi="Arial" w:cs="Arial"/>
          <w:i/>
          <w:sz w:val="24"/>
          <w:szCs w:val="24"/>
        </w:rPr>
        <w:t>W</w:t>
      </w:r>
      <w:r w:rsidR="00B906ED" w:rsidRPr="00B906ED">
        <w:rPr>
          <w:rFonts w:ascii="Arial" w:hAnsi="Arial" w:cs="Arial"/>
          <w:i/>
          <w:sz w:val="24"/>
          <w:szCs w:val="24"/>
        </w:rPr>
        <w:t>eb Services</w:t>
      </w:r>
      <w:r w:rsidR="00E02C27" w:rsidRPr="00B906ED">
        <w:rPr>
          <w:rFonts w:ascii="Arial" w:hAnsi="Arial" w:cs="Arial"/>
          <w:i/>
          <w:sz w:val="24"/>
          <w:szCs w:val="24"/>
        </w:rPr>
        <w:t>.</w:t>
      </w:r>
      <w:r w:rsidR="00E02C27">
        <w:rPr>
          <w:rFonts w:ascii="Arial" w:hAnsi="Arial" w:cs="Arial"/>
          <w:sz w:val="24"/>
          <w:szCs w:val="24"/>
        </w:rPr>
        <w:t xml:space="preserve"> </w:t>
      </w:r>
    </w:p>
    <w:p w:rsidR="00E02C27" w:rsidRDefault="00E02C27" w:rsidP="006B5381">
      <w:pPr>
        <w:pStyle w:val="EstiloTitulo2"/>
      </w:pPr>
      <w:bookmarkStart w:id="98" w:name="_Toc444784489"/>
      <w:bookmarkStart w:id="99" w:name="_Toc243465955"/>
      <w:bookmarkStart w:id="100" w:name="_Toc246751974"/>
      <w:bookmarkStart w:id="101" w:name="_Toc246753112"/>
      <w:bookmarkStart w:id="102" w:name="_Toc246917002"/>
      <w:bookmarkStart w:id="103" w:name="_Toc246917114"/>
      <w:r>
        <w:t>Periodo de pruebas</w:t>
      </w:r>
      <w:bookmarkEnd w:id="98"/>
      <w:r>
        <w:t xml:space="preserve"> </w:t>
      </w:r>
      <w:bookmarkEnd w:id="99"/>
      <w:bookmarkEnd w:id="100"/>
      <w:bookmarkEnd w:id="101"/>
      <w:bookmarkEnd w:id="102"/>
      <w:bookmarkEnd w:id="103"/>
    </w:p>
    <w:p w:rsidR="00E02C27" w:rsidRDefault="00E02C27" w:rsidP="006657B0">
      <w:pPr>
        <w:spacing w:before="120" w:after="240"/>
        <w:ind w:left="425"/>
        <w:rPr>
          <w:rFonts w:ascii="Arial" w:hAnsi="Arial" w:cs="Arial"/>
          <w:sz w:val="24"/>
          <w:szCs w:val="24"/>
        </w:rPr>
      </w:pPr>
      <w:r>
        <w:rPr>
          <w:rFonts w:ascii="Arial" w:hAnsi="Arial" w:cs="Arial"/>
          <w:sz w:val="24"/>
          <w:szCs w:val="24"/>
        </w:rPr>
        <w:t xml:space="preserve">En el esquema para la puesta en marcha de un servicio, se contempla establecer un periodo de pruebas durante el cual los </w:t>
      </w:r>
      <w:r w:rsidR="00A41886">
        <w:rPr>
          <w:rFonts w:ascii="Arial" w:hAnsi="Arial" w:cs="Arial"/>
          <w:sz w:val="24"/>
          <w:szCs w:val="24"/>
        </w:rPr>
        <w:t>operadores</w:t>
      </w:r>
      <w:r>
        <w:rPr>
          <w:rFonts w:ascii="Arial" w:hAnsi="Arial" w:cs="Arial"/>
          <w:sz w:val="24"/>
          <w:szCs w:val="24"/>
        </w:rPr>
        <w:t xml:space="preserve"> podrán verificar el funcionamiento de los WS que componen el servicio. </w:t>
      </w:r>
    </w:p>
    <w:p w:rsidR="00E02C27" w:rsidRDefault="00E02C27" w:rsidP="006B5381">
      <w:pPr>
        <w:pStyle w:val="EstiloTitulo2"/>
      </w:pPr>
      <w:bookmarkStart w:id="104" w:name="_Toc243465956"/>
      <w:bookmarkStart w:id="105" w:name="_Toc246751975"/>
      <w:bookmarkStart w:id="106" w:name="_Toc246753113"/>
      <w:bookmarkStart w:id="107" w:name="_Toc246917003"/>
      <w:bookmarkStart w:id="108" w:name="_Toc246917115"/>
      <w:bookmarkStart w:id="109" w:name="_Toc444784490"/>
      <w:r>
        <w:t>Escenarios de migración entre planta actual de servicios mayoristas indirectos y el nuevo servicio Ethernet</w:t>
      </w:r>
      <w:bookmarkEnd w:id="104"/>
      <w:bookmarkEnd w:id="105"/>
      <w:bookmarkEnd w:id="106"/>
      <w:bookmarkEnd w:id="107"/>
      <w:bookmarkEnd w:id="108"/>
      <w:bookmarkEnd w:id="109"/>
    </w:p>
    <w:p w:rsidR="00E02C27" w:rsidRDefault="00E02C27">
      <w:pPr>
        <w:spacing w:before="240" w:after="60"/>
        <w:ind w:left="425"/>
        <w:rPr>
          <w:rFonts w:ascii="Arial" w:hAnsi="Arial" w:cs="Arial"/>
          <w:sz w:val="24"/>
          <w:szCs w:val="24"/>
        </w:rPr>
      </w:pPr>
      <w:r>
        <w:rPr>
          <w:rFonts w:ascii="Arial" w:hAnsi="Arial" w:cs="Arial"/>
          <w:sz w:val="24"/>
          <w:szCs w:val="24"/>
        </w:rPr>
        <w:t>Se contemplan los movimientos entre servicios incluidas en este documento. En relación con las solicitudes de “retroceso” de servicios (recomposición de un conjunto de conexiones a su estado anterior) véase lo recogido en el apartado 4 de este documento.</w:t>
      </w:r>
    </w:p>
    <w:p w:rsidR="00AD0F73" w:rsidRDefault="00AD0F73">
      <w:pPr>
        <w:ind w:left="432"/>
        <w:rPr>
          <w:rFonts w:ascii="Arial" w:hAnsi="Arial" w:cs="Arial"/>
          <w:sz w:val="24"/>
          <w:szCs w:val="24"/>
        </w:rPr>
      </w:pPr>
    </w:p>
    <w:p w:rsidR="00AD0F73" w:rsidRDefault="00AD0F73" w:rsidP="00480D6B">
      <w:pPr>
        <w:pStyle w:val="EstiloTtulo1"/>
        <w:keepNext/>
        <w:ind w:left="431" w:hanging="431"/>
      </w:pPr>
      <w:bookmarkStart w:id="110" w:name="_Toc444784491"/>
      <w:r>
        <w:t>HERRAMIENTA DE TELEDIAGNOSIS</w:t>
      </w:r>
      <w:bookmarkEnd w:id="110"/>
    </w:p>
    <w:p w:rsidR="00AD0F73" w:rsidRDefault="00AD0F73">
      <w:pPr>
        <w:ind w:left="432"/>
        <w:rPr>
          <w:rFonts w:ascii="Arial" w:hAnsi="Arial" w:cs="Arial"/>
          <w:sz w:val="24"/>
          <w:szCs w:val="24"/>
        </w:rPr>
      </w:pPr>
    </w:p>
    <w:p w:rsidR="00AD0F73" w:rsidRPr="00480D6B" w:rsidRDefault="00655AAD" w:rsidP="00AD0F73">
      <w:pPr>
        <w:pStyle w:val="Textobaseresolucion"/>
        <w:rPr>
          <w:sz w:val="24"/>
        </w:rPr>
      </w:pPr>
      <w:r>
        <w:rPr>
          <w:sz w:val="24"/>
        </w:rPr>
        <w:t xml:space="preserve">Telefónica implementará y proporcionará acceso a los operadores a una herramienta de telediagnosis para verificar el estado de </w:t>
      </w:r>
      <w:r w:rsidR="002351E1">
        <w:rPr>
          <w:sz w:val="24"/>
        </w:rPr>
        <w:t>los accesos</w:t>
      </w:r>
      <w:r>
        <w:rPr>
          <w:sz w:val="24"/>
        </w:rPr>
        <w:t xml:space="preserve"> NEBA xDSL y FTTH. La </w:t>
      </w:r>
      <w:r w:rsidR="00AD0F73" w:rsidRPr="00480D6B">
        <w:rPr>
          <w:sz w:val="24"/>
        </w:rPr>
        <w:t>herramienta deberá ofrecer como mínimo los siguientes parámetros y funcionalidades:</w:t>
      </w:r>
    </w:p>
    <w:p w:rsidR="00AD0F73" w:rsidRPr="00480D6B" w:rsidRDefault="00AD0F73" w:rsidP="00AD0F73">
      <w:pPr>
        <w:pStyle w:val="Textobaseresolucion"/>
        <w:widowControl w:val="0"/>
        <w:numPr>
          <w:ilvl w:val="0"/>
          <w:numId w:val="77"/>
        </w:numPr>
        <w:spacing w:after="120"/>
        <w:ind w:left="360"/>
        <w:rPr>
          <w:sz w:val="24"/>
          <w:u w:val="single"/>
        </w:rPr>
      </w:pPr>
      <w:r w:rsidRPr="00480D6B">
        <w:rPr>
          <w:sz w:val="24"/>
          <w:u w:val="single"/>
        </w:rPr>
        <w:t>Conexiones NEBA xDSL:</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 xml:space="preserve">Velocidad de sincronismo subida/bajada </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Atenuación subida/bajada</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Prueba SELT</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Medidas eléctricas del bucle (resistencias, capacidades, aislamiento, etc.)</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Margen de ruido</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VP/VC</w:t>
      </w:r>
    </w:p>
    <w:p w:rsidR="00AD0F73" w:rsidRPr="00480D6B" w:rsidRDefault="00AD0F73" w:rsidP="00AD0F73">
      <w:pPr>
        <w:pStyle w:val="Textobaseresolucion"/>
        <w:widowControl w:val="0"/>
        <w:numPr>
          <w:ilvl w:val="1"/>
          <w:numId w:val="77"/>
        </w:numPr>
        <w:spacing w:after="120"/>
        <w:ind w:left="1080"/>
        <w:rPr>
          <w:sz w:val="24"/>
          <w:lang w:val="en-US"/>
        </w:rPr>
      </w:pPr>
      <w:r w:rsidRPr="00480D6B">
        <w:rPr>
          <w:sz w:val="24"/>
          <w:lang w:val="en-US"/>
        </w:rPr>
        <w:t>S-VLAN, C-VLAN, OP-VLAN</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Perfil NEBA</w:t>
      </w:r>
    </w:p>
    <w:p w:rsidR="00AD0F73" w:rsidRPr="00480D6B" w:rsidRDefault="00AD0F73" w:rsidP="00AD0F73">
      <w:pPr>
        <w:pStyle w:val="Textobaseresolucion"/>
        <w:rPr>
          <w:sz w:val="24"/>
          <w:u w:val="single"/>
        </w:rPr>
      </w:pPr>
    </w:p>
    <w:p w:rsidR="00AD0F73" w:rsidRPr="00480D6B" w:rsidRDefault="00AD0F73" w:rsidP="00AD0F73">
      <w:pPr>
        <w:pStyle w:val="Textobaseresolucion"/>
        <w:widowControl w:val="0"/>
        <w:numPr>
          <w:ilvl w:val="0"/>
          <w:numId w:val="77"/>
        </w:numPr>
        <w:spacing w:after="120"/>
        <w:ind w:left="360"/>
        <w:rPr>
          <w:sz w:val="24"/>
          <w:u w:val="single"/>
        </w:rPr>
      </w:pPr>
      <w:r w:rsidRPr="00480D6B">
        <w:rPr>
          <w:sz w:val="24"/>
          <w:u w:val="single"/>
        </w:rPr>
        <w:t>Conexiones NEBA FTTH:</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Datos de estado de la ONT (sincronismo, modelo firmware y número de serie)</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 xml:space="preserve">Potencia óptica </w:t>
      </w:r>
    </w:p>
    <w:p w:rsidR="00AD0F73" w:rsidRPr="00480D6B" w:rsidRDefault="00AD0F73" w:rsidP="00AD0F73">
      <w:pPr>
        <w:pStyle w:val="Textobaseresolucion"/>
        <w:widowControl w:val="0"/>
        <w:numPr>
          <w:ilvl w:val="1"/>
          <w:numId w:val="77"/>
        </w:numPr>
        <w:spacing w:after="120"/>
        <w:ind w:left="1080"/>
        <w:rPr>
          <w:sz w:val="24"/>
          <w:lang w:val="en-US"/>
        </w:rPr>
      </w:pPr>
      <w:r w:rsidRPr="00480D6B">
        <w:rPr>
          <w:sz w:val="24"/>
          <w:lang w:val="en-US"/>
        </w:rPr>
        <w:t>S-VLAN, C-VLAN, OP-VLAN</w:t>
      </w:r>
    </w:p>
    <w:p w:rsidR="00AD0F73" w:rsidRPr="00480D6B" w:rsidRDefault="00AD0F73" w:rsidP="00AD0F73">
      <w:pPr>
        <w:pStyle w:val="Textobaseresolucion"/>
        <w:widowControl w:val="0"/>
        <w:numPr>
          <w:ilvl w:val="1"/>
          <w:numId w:val="77"/>
        </w:numPr>
        <w:spacing w:after="120"/>
        <w:ind w:left="1080"/>
        <w:rPr>
          <w:sz w:val="24"/>
        </w:rPr>
      </w:pPr>
      <w:r w:rsidRPr="00480D6B">
        <w:rPr>
          <w:sz w:val="24"/>
        </w:rPr>
        <w:t>Perfil NEBA</w:t>
      </w:r>
    </w:p>
    <w:p w:rsidR="00AD0168" w:rsidRDefault="00AD0168" w:rsidP="00AD0F73">
      <w:pPr>
        <w:pStyle w:val="Textobaseresolucion"/>
        <w:rPr>
          <w:sz w:val="24"/>
        </w:rPr>
      </w:pPr>
    </w:p>
    <w:p w:rsidR="00AD0F73" w:rsidRPr="00480D6B" w:rsidRDefault="00AD0F73" w:rsidP="00AD0F73">
      <w:pPr>
        <w:pStyle w:val="Textobaseresolucion"/>
        <w:rPr>
          <w:sz w:val="24"/>
        </w:rPr>
      </w:pPr>
      <w:r w:rsidRPr="00480D6B">
        <w:rPr>
          <w:sz w:val="24"/>
        </w:rPr>
        <w:t>Además, deberá</w:t>
      </w:r>
      <w:r w:rsidR="00655AAD">
        <w:rPr>
          <w:sz w:val="24"/>
        </w:rPr>
        <w:t xml:space="preserve">n </w:t>
      </w:r>
      <w:r w:rsidRPr="00480D6B">
        <w:rPr>
          <w:sz w:val="24"/>
        </w:rPr>
        <w:t>habilitar</w:t>
      </w:r>
      <w:r w:rsidR="00655AAD">
        <w:rPr>
          <w:sz w:val="24"/>
        </w:rPr>
        <w:t>se</w:t>
      </w:r>
      <w:r w:rsidRPr="00480D6B">
        <w:rPr>
          <w:sz w:val="24"/>
        </w:rPr>
        <w:t xml:space="preserve"> en NEON los mecanismos necesarios para </w:t>
      </w:r>
      <w:r w:rsidR="00E425CA">
        <w:rPr>
          <w:sz w:val="24"/>
        </w:rPr>
        <w:t xml:space="preserve">que el operador (opcionalmente) registre </w:t>
      </w:r>
      <w:r w:rsidRPr="00480D6B">
        <w:rPr>
          <w:sz w:val="24"/>
        </w:rPr>
        <w:t xml:space="preserve">los valores a la entrega del servicio, de manera que puedan evaluarse potenciales degradaciones de la calidad. Deberá ser posible almacenar, al menos, la velocidad de sincronismo de subida y bajada y la atenuación (conexiones xDSL) y potencia óptica (conexiones FTTH). </w:t>
      </w:r>
      <w:r w:rsidR="00E425CA" w:rsidRPr="00E425CA">
        <w:rPr>
          <w:sz w:val="24"/>
        </w:rPr>
        <w:t>Se aplicarán los mismos criterios que en el procedimiento de garantía de calidad vigente en la OBA para accesos desagregados</w:t>
      </w:r>
      <w:r w:rsidR="00E425CA">
        <w:rPr>
          <w:sz w:val="24"/>
        </w:rPr>
        <w:t xml:space="preserve">. </w:t>
      </w:r>
    </w:p>
    <w:p w:rsidR="00655AAD" w:rsidRDefault="00C31B0C" w:rsidP="00480D6B">
      <w:pPr>
        <w:ind w:left="0"/>
        <w:rPr>
          <w:rFonts w:ascii="Arial" w:hAnsi="Arial" w:cs="Arial"/>
          <w:sz w:val="24"/>
        </w:rPr>
      </w:pPr>
      <w:r w:rsidRPr="00C31B0C">
        <w:rPr>
          <w:rFonts w:ascii="Arial" w:hAnsi="Arial" w:cs="Arial"/>
          <w:sz w:val="24"/>
        </w:rPr>
        <w:t>El sistema estará disponible 24 horas al día, todos los días del año</w:t>
      </w:r>
      <w:r>
        <w:rPr>
          <w:rFonts w:ascii="Arial" w:hAnsi="Arial" w:cs="Arial"/>
          <w:sz w:val="24"/>
        </w:rPr>
        <w:t>.</w:t>
      </w:r>
      <w:r w:rsidRPr="00C31B0C">
        <w:rPr>
          <w:rFonts w:ascii="Arial" w:hAnsi="Arial" w:cs="Arial"/>
          <w:sz w:val="24"/>
        </w:rPr>
        <w:t xml:space="preserve"> </w:t>
      </w:r>
      <w:r>
        <w:rPr>
          <w:rFonts w:ascii="Arial" w:hAnsi="Arial" w:cs="Arial"/>
          <w:sz w:val="24"/>
        </w:rPr>
        <w:t xml:space="preserve">El </w:t>
      </w:r>
      <w:r w:rsidRPr="00C31B0C">
        <w:rPr>
          <w:rFonts w:ascii="Arial" w:hAnsi="Arial" w:cs="Arial"/>
          <w:sz w:val="24"/>
        </w:rPr>
        <w:t>ratio de disponibilidad será del 99,75%, calculado según la misma fórmula que la utilizada para los WS de NEON. El tiempo de respuesta máximo a las consultas será de 10 segundos</w:t>
      </w:r>
      <w:r>
        <w:rPr>
          <w:rFonts w:ascii="Arial" w:hAnsi="Arial" w:cs="Arial"/>
          <w:sz w:val="24"/>
        </w:rPr>
        <w:t xml:space="preserve">. </w:t>
      </w:r>
      <w:r w:rsidRPr="00C31B0C">
        <w:rPr>
          <w:rFonts w:ascii="Arial" w:hAnsi="Arial" w:cs="Arial"/>
          <w:sz w:val="24"/>
        </w:rPr>
        <w:t xml:space="preserve">Ambos parámetros </w:t>
      </w:r>
      <w:r>
        <w:rPr>
          <w:rFonts w:ascii="Arial" w:hAnsi="Arial" w:cs="Arial"/>
          <w:sz w:val="24"/>
        </w:rPr>
        <w:t xml:space="preserve">tienen </w:t>
      </w:r>
      <w:r w:rsidRPr="00C31B0C">
        <w:rPr>
          <w:rFonts w:ascii="Arial" w:hAnsi="Arial" w:cs="Arial"/>
          <w:sz w:val="24"/>
        </w:rPr>
        <w:t>carácter de SLO (Objetivos de Nivel de Servicio)</w:t>
      </w:r>
      <w:r w:rsidR="00AD0F73" w:rsidRPr="00480D6B">
        <w:rPr>
          <w:rFonts w:ascii="Arial" w:hAnsi="Arial" w:cs="Arial"/>
          <w:sz w:val="24"/>
        </w:rPr>
        <w:t>.</w:t>
      </w:r>
    </w:p>
    <w:p w:rsidR="00E02C27" w:rsidRDefault="00E02C27" w:rsidP="00711F6C">
      <w:pPr>
        <w:ind w:left="0"/>
        <w:rPr>
          <w:rFonts w:ascii="Arial" w:hAnsi="Arial" w:cs="Arial"/>
          <w:sz w:val="24"/>
          <w:szCs w:val="24"/>
        </w:rPr>
      </w:pPr>
      <w:r>
        <w:rPr>
          <w:rFonts w:ascii="Arial" w:hAnsi="Arial" w:cs="Arial"/>
          <w:sz w:val="24"/>
          <w:szCs w:val="24"/>
        </w:rPr>
        <w:br w:type="page"/>
      </w:r>
      <w:bookmarkStart w:id="111" w:name="_Toc249161505"/>
      <w:bookmarkEnd w:id="111"/>
    </w:p>
    <w:p w:rsidR="00E02C27" w:rsidRDefault="00E02C27">
      <w:pPr>
        <w:pStyle w:val="EstiloTtulo1"/>
      </w:pPr>
      <w:bookmarkStart w:id="112" w:name="_Toc444784492"/>
      <w:r>
        <w:t>ANEXO 1: CONSULTA DE COBERTURA</w:t>
      </w:r>
      <w:bookmarkEnd w:id="112"/>
    </w:p>
    <w:p w:rsidR="00E02C27" w:rsidRDefault="00E02C27">
      <w:pPr>
        <w:ind w:left="1418" w:hanging="545"/>
        <w:rPr>
          <w:rFonts w:ascii="Arial" w:hAnsi="Arial" w:cs="Arial"/>
          <w:sz w:val="24"/>
          <w:szCs w:val="24"/>
        </w:rPr>
      </w:pPr>
    </w:p>
    <w:p w:rsidR="00E02C27" w:rsidRDefault="00E02C27" w:rsidP="006B5381">
      <w:pPr>
        <w:pStyle w:val="EstiloTitulo2"/>
      </w:pPr>
      <w:bookmarkStart w:id="113" w:name="_Toc444784493"/>
      <w:r>
        <w:t>Codificación GESCAL: obtención del código GESCAL de domicilios</w:t>
      </w:r>
      <w:bookmarkEnd w:id="113"/>
    </w:p>
    <w:p w:rsidR="00E02C27" w:rsidRDefault="00E02C27">
      <w:pPr>
        <w:spacing w:before="240" w:after="60"/>
        <w:ind w:left="0"/>
        <w:rPr>
          <w:rFonts w:ascii="Arial" w:hAnsi="Arial" w:cs="Arial"/>
          <w:bCs/>
          <w:iCs/>
          <w:sz w:val="24"/>
          <w:szCs w:val="24"/>
        </w:rPr>
      </w:pPr>
      <w:r>
        <w:rPr>
          <w:rFonts w:ascii="Arial" w:hAnsi="Arial" w:cs="Arial"/>
          <w:bCs/>
          <w:iCs/>
          <w:sz w:val="24"/>
          <w:szCs w:val="24"/>
        </w:rPr>
        <w:t xml:space="preserve">GESCAL es el sistema de codificación de domicilios de Telefónica. En el </w:t>
      </w:r>
      <w:r>
        <w:rPr>
          <w:rFonts w:ascii="Arial" w:hAnsi="Arial" w:cs="Arial"/>
          <w:bCs/>
          <w:i/>
          <w:iCs/>
          <w:sz w:val="24"/>
          <w:szCs w:val="24"/>
        </w:rPr>
        <w:t>Anexo 2</w:t>
      </w:r>
      <w:r>
        <w:rPr>
          <w:rFonts w:ascii="Arial" w:hAnsi="Arial" w:cs="Arial"/>
          <w:bCs/>
          <w:iCs/>
          <w:sz w:val="24"/>
          <w:szCs w:val="24"/>
        </w:rPr>
        <w:t xml:space="preserve"> se describe la estructura de dicho sistema de codificación.</w:t>
      </w:r>
    </w:p>
    <w:p w:rsidR="00E02C27" w:rsidRDefault="00E02C27">
      <w:pPr>
        <w:spacing w:before="60" w:after="60"/>
        <w:ind w:left="0"/>
        <w:rPr>
          <w:rFonts w:ascii="Arial" w:hAnsi="Arial" w:cs="Arial"/>
          <w:bCs/>
          <w:iCs/>
          <w:sz w:val="24"/>
          <w:szCs w:val="24"/>
        </w:rPr>
      </w:pPr>
      <w:r>
        <w:rPr>
          <w:rFonts w:ascii="Arial" w:hAnsi="Arial" w:cs="Arial"/>
          <w:bCs/>
          <w:iCs/>
          <w:sz w:val="24"/>
          <w:szCs w:val="24"/>
        </w:rPr>
        <w:t>Un domicilio dispone de código GESCAL si actualmente tiene, o si en algún momento ha tenido, servicio de Telefónica. Este hecho, unido a la diversidad de circunstancias asociada a la descripción de los domicilios hace que un domicilio, per se, no asegure la precisión o unicidad del 100% de la codificación de domicilios.</w:t>
      </w:r>
    </w:p>
    <w:p w:rsidR="00E02C27" w:rsidRDefault="00E02C27">
      <w:pPr>
        <w:spacing w:before="60" w:after="60"/>
        <w:ind w:left="0"/>
        <w:rPr>
          <w:rFonts w:ascii="Arial" w:hAnsi="Arial" w:cs="Arial"/>
          <w:bCs/>
          <w:iCs/>
          <w:sz w:val="24"/>
          <w:szCs w:val="24"/>
        </w:rPr>
      </w:pPr>
      <w:r>
        <w:rPr>
          <w:rFonts w:ascii="Arial" w:hAnsi="Arial" w:cs="Arial"/>
          <w:bCs/>
          <w:iCs/>
          <w:sz w:val="24"/>
          <w:szCs w:val="24"/>
        </w:rPr>
        <w:t>Telefónica ha puesto a disposición de los operadores un WS para la recuperación de los códigos GESCAL de domicilios. La recuperación y consiguiente disponibilidad del código GESCAL mediante dicho WS permitirá, entre otras, realizar solicitudes de servicio de altas sobre vacante introduciendo en la solicitud el código GESCAL.</w:t>
      </w:r>
    </w:p>
    <w:p w:rsidR="00E02C27" w:rsidRDefault="00E02C27">
      <w:pPr>
        <w:spacing w:before="60" w:after="60"/>
        <w:ind w:left="0"/>
        <w:rPr>
          <w:rFonts w:ascii="Arial" w:hAnsi="Arial" w:cs="Arial"/>
          <w:bCs/>
          <w:iCs/>
          <w:sz w:val="24"/>
          <w:szCs w:val="24"/>
        </w:rPr>
      </w:pPr>
      <w:r>
        <w:rPr>
          <w:rFonts w:ascii="Arial" w:hAnsi="Arial" w:cs="Arial"/>
          <w:bCs/>
          <w:iCs/>
          <w:sz w:val="24"/>
          <w:szCs w:val="24"/>
        </w:rPr>
        <w:t>La extensión o generalización de los servicios sin vinculación con el número de teléfono de Telefónica hace que sea extremadamente conveniente y recomendable la utilización de dicho WS, recomendación que se hace más intensa si cabe a la vista de la evolución del mercado y los servicios demandados.</w:t>
      </w:r>
    </w:p>
    <w:p w:rsidR="00E02C27" w:rsidRDefault="00E02C27">
      <w:pPr>
        <w:spacing w:before="60" w:after="60"/>
        <w:ind w:left="0"/>
        <w:rPr>
          <w:rFonts w:ascii="Arial" w:hAnsi="Arial" w:cs="Arial"/>
          <w:bCs/>
          <w:iCs/>
          <w:sz w:val="24"/>
          <w:szCs w:val="24"/>
        </w:rPr>
      </w:pPr>
      <w:r>
        <w:rPr>
          <w:rFonts w:ascii="Arial" w:hAnsi="Arial" w:cs="Arial"/>
          <w:bCs/>
          <w:iCs/>
          <w:sz w:val="24"/>
          <w:szCs w:val="24"/>
        </w:rPr>
        <w:t>El WS mencionado permitirá construir un sistema guiado de identificación de direcciones y domicilios.</w:t>
      </w:r>
    </w:p>
    <w:p w:rsidR="00E02C27" w:rsidRDefault="00E02C27">
      <w:pPr>
        <w:spacing w:before="60" w:after="60"/>
        <w:ind w:left="0"/>
        <w:rPr>
          <w:rFonts w:ascii="Arial" w:hAnsi="Arial" w:cs="Arial"/>
          <w:bCs/>
          <w:iCs/>
          <w:sz w:val="24"/>
          <w:szCs w:val="24"/>
        </w:rPr>
      </w:pPr>
      <w:r>
        <w:rPr>
          <w:rFonts w:ascii="Arial" w:hAnsi="Arial" w:cs="Arial"/>
          <w:bCs/>
          <w:iCs/>
          <w:sz w:val="24"/>
          <w:szCs w:val="24"/>
        </w:rPr>
        <w:t>El concepto de dirección en GESCAL puede establecerse a 2 niveles:</w:t>
      </w:r>
    </w:p>
    <w:p w:rsidR="00E02C27" w:rsidRDefault="00E02C27">
      <w:pPr>
        <w:numPr>
          <w:ilvl w:val="3"/>
          <w:numId w:val="33"/>
        </w:numPr>
        <w:tabs>
          <w:tab w:val="clear" w:pos="4363"/>
          <w:tab w:val="num" w:pos="992"/>
        </w:tabs>
        <w:spacing w:before="60" w:after="60"/>
        <w:ind w:left="992" w:hanging="283"/>
        <w:rPr>
          <w:rFonts w:ascii="Arial" w:hAnsi="Arial" w:cs="Arial"/>
          <w:bCs/>
          <w:iCs/>
          <w:sz w:val="24"/>
          <w:szCs w:val="24"/>
        </w:rPr>
      </w:pPr>
      <w:r>
        <w:rPr>
          <w:rFonts w:ascii="Arial" w:hAnsi="Arial" w:cs="Arial"/>
          <w:bCs/>
          <w:iCs/>
          <w:sz w:val="24"/>
          <w:szCs w:val="24"/>
        </w:rPr>
        <w:t>GESCAL 24: codificación de finca, incluyendo duplicado, bloque, portal y letra.</w:t>
      </w:r>
    </w:p>
    <w:p w:rsidR="00E02C27" w:rsidRDefault="00E02C27">
      <w:pPr>
        <w:numPr>
          <w:ilvl w:val="3"/>
          <w:numId w:val="33"/>
        </w:numPr>
        <w:tabs>
          <w:tab w:val="clear" w:pos="4363"/>
          <w:tab w:val="num" w:pos="992"/>
          <w:tab w:val="num" w:pos="3312"/>
          <w:tab w:val="num" w:pos="4515"/>
        </w:tabs>
        <w:spacing w:before="60" w:after="60"/>
        <w:ind w:left="992" w:hanging="283"/>
        <w:rPr>
          <w:rFonts w:ascii="Arial" w:hAnsi="Arial" w:cs="Arial"/>
          <w:bCs/>
          <w:iCs/>
          <w:sz w:val="24"/>
          <w:szCs w:val="24"/>
        </w:rPr>
      </w:pPr>
      <w:r>
        <w:rPr>
          <w:rFonts w:ascii="Arial" w:hAnsi="Arial" w:cs="Arial"/>
          <w:bCs/>
          <w:iCs/>
          <w:sz w:val="24"/>
          <w:szCs w:val="24"/>
        </w:rPr>
        <w:t xml:space="preserve">GESCAL 37: codificación de domicilio completo. </w:t>
      </w:r>
    </w:p>
    <w:p w:rsidR="00E02C27" w:rsidRDefault="00E02C27">
      <w:pPr>
        <w:pStyle w:val="Textoindependiente"/>
        <w:spacing w:before="60" w:after="60"/>
        <w:ind w:left="0"/>
        <w:rPr>
          <w:rFonts w:ascii="Arial" w:hAnsi="Arial" w:cs="Arial"/>
          <w:bCs/>
          <w:iCs/>
          <w:szCs w:val="24"/>
          <w:lang w:val="es-ES"/>
        </w:rPr>
      </w:pPr>
      <w:r>
        <w:rPr>
          <w:rFonts w:ascii="Arial" w:hAnsi="Arial" w:cs="Arial"/>
          <w:bCs/>
          <w:iCs/>
          <w:szCs w:val="24"/>
          <w:lang w:val="es-ES"/>
        </w:rPr>
        <w:t>La identificación de un domicilio se realiza mediante la codificación GESCAL 37. No obstante, a los efectos de determinación de la cobertura de servicios de acceso indirecto, la utilización de la codificación GESCAL 24 resulta suficiente.</w:t>
      </w:r>
    </w:p>
    <w:p w:rsidR="00E02C27" w:rsidRDefault="00E02C27">
      <w:pPr>
        <w:pStyle w:val="Textoindependiente"/>
        <w:spacing w:before="60" w:after="60"/>
        <w:ind w:left="0"/>
        <w:rPr>
          <w:rFonts w:ascii="Arial" w:hAnsi="Arial" w:cs="Arial"/>
          <w:bCs/>
          <w:szCs w:val="24"/>
          <w:lang w:val="es-ES"/>
        </w:rPr>
      </w:pPr>
      <w:r>
        <w:rPr>
          <w:rFonts w:ascii="Arial" w:hAnsi="Arial" w:cs="Arial"/>
          <w:bCs/>
          <w:szCs w:val="24"/>
          <w:lang w:val="es-ES"/>
        </w:rPr>
        <w:t>El resultado de una consulta de código GESCAL mediante el correspondiente WS puede ser alguna de las siguientes:</w:t>
      </w:r>
    </w:p>
    <w:p w:rsidR="00E02C27" w:rsidRDefault="00E02C27">
      <w:pPr>
        <w:numPr>
          <w:ilvl w:val="3"/>
          <w:numId w:val="33"/>
        </w:numPr>
        <w:tabs>
          <w:tab w:val="clear" w:pos="4363"/>
          <w:tab w:val="num" w:pos="992"/>
          <w:tab w:val="num" w:pos="3312"/>
        </w:tabs>
        <w:spacing w:before="60" w:after="60"/>
        <w:ind w:left="992" w:hanging="283"/>
        <w:rPr>
          <w:rFonts w:ascii="Arial" w:hAnsi="Arial" w:cs="Arial"/>
          <w:bCs/>
          <w:iCs/>
          <w:sz w:val="24"/>
          <w:szCs w:val="24"/>
        </w:rPr>
      </w:pPr>
      <w:r>
        <w:rPr>
          <w:rFonts w:ascii="Arial" w:hAnsi="Arial" w:cs="Arial"/>
          <w:bCs/>
          <w:iCs/>
          <w:sz w:val="24"/>
          <w:szCs w:val="24"/>
        </w:rPr>
        <w:t>Que el Operador recupere el código GESCAL del domicilio de interés (GESCAL 37). En este caso, se seguirá el proceso indicado en el apartado 9.3 de este Anexo1.</w:t>
      </w:r>
    </w:p>
    <w:p w:rsidR="00E02C27" w:rsidRDefault="00E02C27">
      <w:pPr>
        <w:numPr>
          <w:ilvl w:val="3"/>
          <w:numId w:val="33"/>
        </w:numPr>
        <w:tabs>
          <w:tab w:val="clear" w:pos="4363"/>
          <w:tab w:val="num" w:pos="992"/>
          <w:tab w:val="num" w:pos="3312"/>
        </w:tabs>
        <w:spacing w:before="60" w:after="60"/>
        <w:ind w:left="992" w:hanging="283"/>
        <w:rPr>
          <w:rFonts w:ascii="Arial" w:hAnsi="Arial" w:cs="Arial"/>
          <w:bCs/>
          <w:iCs/>
          <w:sz w:val="24"/>
          <w:szCs w:val="24"/>
        </w:rPr>
      </w:pPr>
      <w:r>
        <w:rPr>
          <w:rFonts w:ascii="Arial" w:hAnsi="Arial" w:cs="Arial"/>
          <w:bCs/>
          <w:iCs/>
          <w:sz w:val="24"/>
          <w:szCs w:val="24"/>
        </w:rPr>
        <w:t xml:space="preserve">Que el Operador no recupere el código GESCAL del domicilio de interés, pero pueda recuperar el código GESCAL de la finca del domicilio de interés (GESCAL 24): </w:t>
      </w:r>
    </w:p>
    <w:p w:rsidR="00E02C27" w:rsidRDefault="00E02C27">
      <w:pPr>
        <w:numPr>
          <w:ilvl w:val="4"/>
          <w:numId w:val="16"/>
        </w:numPr>
        <w:tabs>
          <w:tab w:val="clear" w:pos="3228"/>
          <w:tab w:val="num" w:pos="1810"/>
          <w:tab w:val="num" w:pos="3816"/>
        </w:tabs>
        <w:spacing w:before="60" w:after="60"/>
        <w:ind w:left="1810"/>
        <w:rPr>
          <w:rFonts w:ascii="Arial" w:hAnsi="Arial" w:cs="Arial"/>
          <w:sz w:val="24"/>
          <w:szCs w:val="24"/>
        </w:rPr>
      </w:pPr>
      <w:r>
        <w:rPr>
          <w:rFonts w:ascii="Arial" w:hAnsi="Arial" w:cs="Arial"/>
          <w:sz w:val="24"/>
          <w:szCs w:val="24"/>
        </w:rPr>
        <w:t>porque la búsqueda se detenga intencionadamente a nivel de finca (GESCAL 24), por ejemplo porque se desea solicitar un alta sobre vacante,</w:t>
      </w:r>
    </w:p>
    <w:p w:rsidR="00E02C27" w:rsidRDefault="00E02C27">
      <w:pPr>
        <w:numPr>
          <w:ilvl w:val="4"/>
          <w:numId w:val="16"/>
        </w:numPr>
        <w:tabs>
          <w:tab w:val="clear" w:pos="3228"/>
          <w:tab w:val="num" w:pos="1810"/>
          <w:tab w:val="num" w:pos="3816"/>
        </w:tabs>
        <w:spacing w:before="60" w:after="60"/>
        <w:ind w:left="1810"/>
        <w:rPr>
          <w:rFonts w:ascii="Arial" w:hAnsi="Arial" w:cs="Arial"/>
          <w:sz w:val="24"/>
          <w:szCs w:val="24"/>
        </w:rPr>
      </w:pPr>
      <w:r>
        <w:rPr>
          <w:rFonts w:ascii="Arial" w:hAnsi="Arial" w:cs="Arial"/>
          <w:sz w:val="24"/>
          <w:szCs w:val="24"/>
        </w:rPr>
        <w:t>porque no se encuentre (por no existir) el código GESCAL (37) del domicilio de interés (un domicilio tiene GESCAL si dispone o ha dispuesto en algún momento de servicio de Telefónica),</w:t>
      </w:r>
    </w:p>
    <w:p w:rsidR="00E02C27" w:rsidRDefault="00E02C27">
      <w:pPr>
        <w:numPr>
          <w:ilvl w:val="4"/>
          <w:numId w:val="16"/>
        </w:numPr>
        <w:tabs>
          <w:tab w:val="clear" w:pos="3228"/>
          <w:tab w:val="num" w:pos="1810"/>
          <w:tab w:val="num" w:pos="3816"/>
        </w:tabs>
        <w:spacing w:before="60" w:after="60"/>
        <w:ind w:left="1810"/>
        <w:rPr>
          <w:rFonts w:ascii="Arial" w:hAnsi="Arial" w:cs="Arial"/>
          <w:sz w:val="24"/>
          <w:szCs w:val="24"/>
        </w:rPr>
      </w:pPr>
      <w:r>
        <w:rPr>
          <w:rFonts w:ascii="Arial" w:hAnsi="Arial" w:cs="Arial"/>
          <w:sz w:val="24"/>
          <w:szCs w:val="24"/>
        </w:rPr>
        <w:t xml:space="preserve">En ambos casos, </w:t>
      </w:r>
      <w:r>
        <w:rPr>
          <w:rFonts w:ascii="Arial" w:hAnsi="Arial" w:cs="Arial"/>
          <w:bCs/>
          <w:iCs/>
          <w:sz w:val="24"/>
          <w:szCs w:val="24"/>
        </w:rPr>
        <w:t xml:space="preserve">se seguirá el proceso indicado en el apartado 9.3, utilizando el código GESCAL de finca (GESCAL 24) para la identificación de cobertura. </w:t>
      </w:r>
    </w:p>
    <w:p w:rsidR="00E02C27" w:rsidRDefault="00E02C27">
      <w:pPr>
        <w:numPr>
          <w:ilvl w:val="3"/>
          <w:numId w:val="33"/>
        </w:numPr>
        <w:tabs>
          <w:tab w:val="clear" w:pos="4363"/>
          <w:tab w:val="num" w:pos="992"/>
          <w:tab w:val="num" w:pos="3312"/>
        </w:tabs>
        <w:spacing w:before="60" w:after="60"/>
        <w:ind w:left="992" w:hanging="283"/>
        <w:rPr>
          <w:rFonts w:ascii="Arial" w:hAnsi="Arial" w:cs="Arial"/>
          <w:bCs/>
          <w:iCs/>
          <w:sz w:val="24"/>
          <w:szCs w:val="24"/>
        </w:rPr>
      </w:pPr>
      <w:r>
        <w:rPr>
          <w:rFonts w:ascii="Arial" w:hAnsi="Arial" w:cs="Arial"/>
          <w:bCs/>
          <w:iCs/>
          <w:sz w:val="24"/>
          <w:szCs w:val="24"/>
        </w:rPr>
        <w:t>Que el operador no pueda recuperar ningún código GESCAL relacionado con un domicilio; por ejemplo, una vivienda individual o en una nueva finca en la que no haya habido servicios de Telefónica. En este caso, se seguirá el proceso recogido en el Apartado 10.3 de este documento (Anexo 2).</w:t>
      </w:r>
    </w:p>
    <w:p w:rsidR="00E02C27" w:rsidRDefault="00E02C27">
      <w:pPr>
        <w:spacing w:before="60" w:after="60"/>
        <w:ind w:left="1418" w:hanging="545"/>
        <w:rPr>
          <w:rFonts w:ascii="Arial" w:hAnsi="Arial" w:cs="Arial"/>
          <w:bCs/>
          <w:iCs/>
          <w:sz w:val="24"/>
          <w:szCs w:val="24"/>
        </w:rPr>
      </w:pPr>
    </w:p>
    <w:p w:rsidR="00E02C27" w:rsidRDefault="00E02C27" w:rsidP="006B5381">
      <w:pPr>
        <w:pStyle w:val="EstiloTitulo2"/>
      </w:pPr>
      <w:bookmarkStart w:id="114" w:name="_Toc444784494"/>
      <w:r>
        <w:t>Situación actual de la información de cobertura de acceso indirecto xDSL mediante consulta a bases de datos y ficheros</w:t>
      </w:r>
      <w:bookmarkEnd w:id="114"/>
      <w:r>
        <w:t xml:space="preserve"> </w:t>
      </w:r>
    </w:p>
    <w:p w:rsidR="00E02C27" w:rsidRDefault="00E02C27">
      <w:pPr>
        <w:pStyle w:val="Textoindependiente"/>
        <w:spacing w:before="240" w:after="60"/>
        <w:ind w:left="0"/>
        <w:rPr>
          <w:rFonts w:ascii="Arial" w:hAnsi="Arial" w:cs="Arial"/>
          <w:bCs/>
          <w:iCs/>
          <w:szCs w:val="24"/>
          <w:lang w:val="es-ES"/>
        </w:rPr>
      </w:pPr>
      <w:r>
        <w:rPr>
          <w:rFonts w:ascii="Arial" w:hAnsi="Arial" w:cs="Arial"/>
          <w:bCs/>
          <w:iCs/>
          <w:szCs w:val="24"/>
          <w:lang w:val="es-ES"/>
        </w:rPr>
        <w:t xml:space="preserve">La cobertura de servicios sobre bucles (cobre) se ofrece actualmente a los </w:t>
      </w:r>
      <w:r w:rsidR="00A41886">
        <w:rPr>
          <w:rFonts w:ascii="Arial" w:hAnsi="Arial" w:cs="Arial"/>
          <w:bCs/>
          <w:iCs/>
          <w:szCs w:val="24"/>
          <w:lang w:val="es-ES"/>
        </w:rPr>
        <w:t>operadores</w:t>
      </w:r>
      <w:r>
        <w:rPr>
          <w:rFonts w:ascii="Arial" w:hAnsi="Arial" w:cs="Arial"/>
          <w:bCs/>
          <w:iCs/>
          <w:szCs w:val="24"/>
          <w:lang w:val="es-ES"/>
        </w:rPr>
        <w:t xml:space="preserve"> mediante una consulta online en SGO a la base de datos de pares individuales y mediante los ficheros de centrales y nodos, tal y como se describe en el documento “090527 Guía de Uso de Información de Cobertura de Acceso Indirecto sobre Cobre.doc” disponible en el SGO. </w:t>
      </w:r>
    </w:p>
    <w:p w:rsidR="00E02C27" w:rsidRDefault="00E02C27">
      <w:pPr>
        <w:spacing w:before="60" w:after="60"/>
        <w:ind w:left="0"/>
        <w:rPr>
          <w:rFonts w:ascii="Arial" w:hAnsi="Arial" w:cs="Arial"/>
          <w:bCs/>
          <w:iCs/>
          <w:sz w:val="24"/>
          <w:szCs w:val="24"/>
        </w:rPr>
      </w:pPr>
      <w:r>
        <w:rPr>
          <w:rFonts w:ascii="Arial" w:hAnsi="Arial" w:cs="Arial"/>
          <w:bCs/>
          <w:iCs/>
          <w:sz w:val="24"/>
          <w:szCs w:val="24"/>
        </w:rPr>
        <w:t>Se expone a continuación cómo puede consultarse actualmente la información de cobertura que se desprende de la base de datos y ficheros indicados. Dicha base de datos y ficheros están sujetos a la evolución a NEON descrita en el documento “Planteamiento para la transformación de los sistemas de Operadores en la OBA (NEON)” de 2 de diciembre de 2009.</w:t>
      </w:r>
    </w:p>
    <w:p w:rsidR="00E02C27" w:rsidRDefault="00E02C27">
      <w:pPr>
        <w:spacing w:before="60" w:after="60"/>
        <w:ind w:left="0"/>
        <w:rPr>
          <w:rFonts w:ascii="Arial" w:hAnsi="Arial" w:cs="Arial"/>
          <w:bCs/>
          <w:iCs/>
          <w:sz w:val="24"/>
          <w:szCs w:val="24"/>
        </w:rPr>
      </w:pPr>
      <w:r>
        <w:rPr>
          <w:rFonts w:ascii="Arial" w:hAnsi="Arial" w:cs="Arial"/>
          <w:bCs/>
          <w:iCs/>
          <w:sz w:val="24"/>
          <w:szCs w:val="24"/>
        </w:rPr>
        <w:t xml:space="preserve">En primer lugar, deberá verificarse en SGO, en la Base de Datos de Pares de Cobre Individuales, la aptitud del par para las distintas modalidades de acceso indirecto. Esta consulta puede realizarse tanto por número de teléfono, como por dirección, y ofrece información sobre el par: características físicas, eléctricas y de aptitud para los servicios de acceso indirecto. </w:t>
      </w:r>
    </w:p>
    <w:p w:rsidR="00E02C27" w:rsidRDefault="00E02C27">
      <w:pPr>
        <w:spacing w:before="60" w:after="60"/>
        <w:ind w:left="0"/>
        <w:rPr>
          <w:rFonts w:ascii="Arial" w:hAnsi="Arial" w:cs="Arial"/>
          <w:bCs/>
          <w:iCs/>
          <w:sz w:val="24"/>
          <w:szCs w:val="24"/>
        </w:rPr>
      </w:pPr>
      <w:r>
        <w:rPr>
          <w:rFonts w:ascii="Arial" w:hAnsi="Arial" w:cs="Arial"/>
          <w:bCs/>
          <w:iCs/>
          <w:sz w:val="24"/>
          <w:szCs w:val="24"/>
        </w:rPr>
        <w:t>En el caso de que el Operador conozca el número de teléfono del cliente final (si el usuario final es cliente del servicio STB de Telefónica España), la consulta de dicha base de datos se puede realizar por teléfono.</w:t>
      </w:r>
    </w:p>
    <w:p w:rsidR="00E02C27" w:rsidRDefault="00E02C27">
      <w:pPr>
        <w:spacing w:before="60" w:after="60"/>
        <w:ind w:left="0"/>
        <w:rPr>
          <w:rFonts w:ascii="Arial" w:hAnsi="Arial" w:cs="Arial"/>
          <w:bCs/>
          <w:iCs/>
          <w:sz w:val="24"/>
          <w:szCs w:val="24"/>
        </w:rPr>
      </w:pPr>
      <w:r>
        <w:rPr>
          <w:rFonts w:ascii="Arial" w:hAnsi="Arial" w:cs="Arial"/>
          <w:bCs/>
          <w:iCs/>
          <w:sz w:val="24"/>
          <w:szCs w:val="24"/>
        </w:rPr>
        <w:t xml:space="preserve">En el caso de que el cliente no tenga número de teléfono de Telefónica, puede utilizarse como parámetro de entrada la dirección obtenida a través de un sistema de combos guiados, con las alternativas posibles para cada nivel de búsqueda.  </w:t>
      </w:r>
    </w:p>
    <w:p w:rsidR="00E02C27" w:rsidRDefault="00E02C27">
      <w:pPr>
        <w:spacing w:before="60" w:after="60"/>
        <w:ind w:left="0"/>
        <w:rPr>
          <w:rFonts w:ascii="Arial" w:hAnsi="Arial" w:cs="Arial"/>
          <w:bCs/>
          <w:iCs/>
          <w:sz w:val="24"/>
          <w:szCs w:val="24"/>
        </w:rPr>
      </w:pPr>
      <w:r>
        <w:rPr>
          <w:rFonts w:ascii="Arial" w:hAnsi="Arial" w:cs="Arial"/>
          <w:bCs/>
          <w:iCs/>
          <w:sz w:val="24"/>
          <w:szCs w:val="24"/>
        </w:rPr>
        <w:t>Una vez seleccionado el par, ya sea por número de teléfono de Telefónica o identificando el domicilio de interés, la consulta ofrece los datos incluidos en la BBDD de pares individuales, que sin ser exhaustivos, incluyen:</w:t>
      </w:r>
    </w:p>
    <w:p w:rsidR="00E02C27" w:rsidRDefault="00E02C27">
      <w:pPr>
        <w:numPr>
          <w:ilvl w:val="0"/>
          <w:numId w:val="34"/>
        </w:numPr>
        <w:tabs>
          <w:tab w:val="clear" w:pos="2138"/>
          <w:tab w:val="num" w:pos="720"/>
        </w:tabs>
        <w:spacing w:before="60" w:after="60"/>
        <w:ind w:left="720"/>
        <w:rPr>
          <w:rFonts w:ascii="Arial" w:hAnsi="Arial" w:cs="Arial"/>
          <w:sz w:val="24"/>
          <w:szCs w:val="24"/>
        </w:rPr>
      </w:pPr>
      <w:r>
        <w:rPr>
          <w:rFonts w:ascii="Arial" w:hAnsi="Arial" w:cs="Arial"/>
          <w:sz w:val="24"/>
          <w:szCs w:val="24"/>
        </w:rPr>
        <w:t>el Código de Central (MIGA)</w:t>
      </w:r>
    </w:p>
    <w:p w:rsidR="00E02C27" w:rsidRDefault="00E02C27">
      <w:pPr>
        <w:numPr>
          <w:ilvl w:val="0"/>
          <w:numId w:val="34"/>
        </w:numPr>
        <w:tabs>
          <w:tab w:val="clear" w:pos="2138"/>
          <w:tab w:val="num" w:pos="720"/>
        </w:tabs>
        <w:spacing w:before="60" w:after="60"/>
        <w:ind w:left="720"/>
        <w:rPr>
          <w:rFonts w:ascii="Arial" w:hAnsi="Arial" w:cs="Arial"/>
          <w:sz w:val="24"/>
          <w:szCs w:val="24"/>
        </w:rPr>
      </w:pPr>
      <w:r>
        <w:rPr>
          <w:rFonts w:ascii="Arial" w:hAnsi="Arial" w:cs="Arial"/>
          <w:sz w:val="24"/>
          <w:szCs w:val="24"/>
        </w:rPr>
        <w:t>si el bucle depende de un Nodo Remoto o no</w:t>
      </w:r>
    </w:p>
    <w:p w:rsidR="00E02C27" w:rsidRDefault="00E02C27">
      <w:pPr>
        <w:numPr>
          <w:ilvl w:val="0"/>
          <w:numId w:val="34"/>
        </w:numPr>
        <w:tabs>
          <w:tab w:val="clear" w:pos="2138"/>
          <w:tab w:val="num" w:pos="720"/>
        </w:tabs>
        <w:spacing w:before="60" w:after="60"/>
        <w:ind w:left="720"/>
        <w:rPr>
          <w:rFonts w:ascii="Arial" w:hAnsi="Arial" w:cs="Arial"/>
          <w:sz w:val="24"/>
          <w:szCs w:val="24"/>
        </w:rPr>
      </w:pPr>
      <w:r>
        <w:rPr>
          <w:rFonts w:ascii="Arial" w:hAnsi="Arial" w:cs="Arial"/>
          <w:sz w:val="24"/>
          <w:szCs w:val="24"/>
        </w:rPr>
        <w:t>El Código de Localización del Nodo (ATLAS) en caso de que el par dependa de un Nodo Remoto</w:t>
      </w:r>
    </w:p>
    <w:p w:rsidR="00E02C27" w:rsidRDefault="00E02C27">
      <w:pPr>
        <w:numPr>
          <w:ilvl w:val="0"/>
          <w:numId w:val="34"/>
        </w:numPr>
        <w:tabs>
          <w:tab w:val="clear" w:pos="2138"/>
          <w:tab w:val="num" w:pos="720"/>
        </w:tabs>
        <w:spacing w:before="60" w:after="60"/>
        <w:ind w:left="720"/>
        <w:rPr>
          <w:rFonts w:ascii="Arial" w:hAnsi="Arial" w:cs="Arial"/>
          <w:sz w:val="24"/>
          <w:szCs w:val="24"/>
        </w:rPr>
      </w:pPr>
      <w:r>
        <w:rPr>
          <w:rFonts w:ascii="Arial" w:hAnsi="Arial" w:cs="Arial"/>
          <w:sz w:val="24"/>
          <w:szCs w:val="24"/>
        </w:rPr>
        <w:t>Una serie de datos topológicos del par (distancia, atenuación, número de ramas, calibre, etc), que el Operador puede necesitar para evaluar los servicios de acceso directo que puede ofrecer al usuario final</w:t>
      </w:r>
    </w:p>
    <w:p w:rsidR="00E02C27" w:rsidRDefault="00E02C27">
      <w:pPr>
        <w:numPr>
          <w:ilvl w:val="0"/>
          <w:numId w:val="34"/>
        </w:numPr>
        <w:tabs>
          <w:tab w:val="clear" w:pos="2138"/>
          <w:tab w:val="num" w:pos="720"/>
        </w:tabs>
        <w:spacing w:before="60" w:after="60"/>
        <w:ind w:left="720"/>
        <w:rPr>
          <w:rFonts w:ascii="Arial" w:hAnsi="Arial" w:cs="Arial"/>
          <w:sz w:val="24"/>
          <w:szCs w:val="24"/>
        </w:rPr>
      </w:pPr>
      <w:r>
        <w:rPr>
          <w:rFonts w:ascii="Arial" w:hAnsi="Arial" w:cs="Arial"/>
          <w:sz w:val="24"/>
          <w:szCs w:val="24"/>
        </w:rPr>
        <w:t>la aptitud del bucle para los distintos perfiles de validación de acceso indirecto ofertadas por Telefónica España. Las modalidades comerciales correspondientes a cada perfil de validación se podrá consultar en SGO, en Provisión de Información, en Enlace a Otro Sistemas, la tabla de “</w:t>
      </w:r>
      <w:r>
        <w:rPr>
          <w:rFonts w:ascii="Arial" w:hAnsi="Arial" w:cs="Arial"/>
          <w:i/>
          <w:iCs/>
          <w:sz w:val="24"/>
          <w:szCs w:val="24"/>
        </w:rPr>
        <w:t>Validación Técnica Bucle de Modalidades Comerciales Acceso Indirecto OBA</w:t>
      </w:r>
      <w:r>
        <w:rPr>
          <w:rFonts w:ascii="Arial" w:hAnsi="Arial" w:cs="Arial"/>
          <w:sz w:val="24"/>
          <w:szCs w:val="24"/>
        </w:rPr>
        <w:t>”.</w:t>
      </w:r>
    </w:p>
    <w:p w:rsidR="00E02C27" w:rsidRDefault="00E02C27">
      <w:pPr>
        <w:spacing w:before="60" w:after="60"/>
        <w:ind w:left="0"/>
        <w:rPr>
          <w:rFonts w:ascii="Arial" w:hAnsi="Arial" w:cs="Arial"/>
          <w:bCs/>
          <w:iCs/>
          <w:sz w:val="24"/>
          <w:szCs w:val="24"/>
        </w:rPr>
      </w:pPr>
      <w:r>
        <w:rPr>
          <w:rFonts w:ascii="Arial" w:hAnsi="Arial" w:cs="Arial"/>
          <w:bCs/>
          <w:iCs/>
          <w:sz w:val="24"/>
          <w:szCs w:val="24"/>
        </w:rPr>
        <w:t>Además, Telefónica dispone desde junio de 2008 un Web service que ofrece información sobre características de pares individuales de cobre (WSPC), según lo indicado en la OBA sobre la “Base de datos de pares individuales”</w:t>
      </w:r>
    </w:p>
    <w:p w:rsidR="00E02C27" w:rsidRDefault="00E02C27">
      <w:pPr>
        <w:spacing w:before="60" w:after="60"/>
        <w:ind w:left="0"/>
        <w:rPr>
          <w:rFonts w:ascii="Arial" w:hAnsi="Arial" w:cs="Arial"/>
          <w:bCs/>
          <w:iCs/>
          <w:sz w:val="24"/>
          <w:szCs w:val="24"/>
        </w:rPr>
      </w:pPr>
      <w:r>
        <w:rPr>
          <w:rFonts w:ascii="Arial" w:hAnsi="Arial" w:cs="Arial"/>
          <w:bCs/>
          <w:iCs/>
          <w:sz w:val="24"/>
          <w:szCs w:val="24"/>
        </w:rPr>
        <w:t>Por otro lado, a la hora de decidir qué servicio de acceso indirecto puede contratar el Operador a Telefónica España, deberá verificar el equipamiento y disponibilidades de la Central o del Nodo Remoto del que depende el par, a partir de los datos obtenidos en la anterior consulta. El proceso a seguir es el siguiente:</w:t>
      </w:r>
    </w:p>
    <w:p w:rsidR="00E02C27" w:rsidRDefault="00E02C27">
      <w:pPr>
        <w:numPr>
          <w:ilvl w:val="0"/>
          <w:numId w:val="35"/>
        </w:numPr>
        <w:tabs>
          <w:tab w:val="clear" w:pos="2138"/>
          <w:tab w:val="num" w:pos="720"/>
        </w:tabs>
        <w:spacing w:before="60" w:after="60"/>
        <w:ind w:left="720"/>
        <w:rPr>
          <w:rFonts w:ascii="Arial" w:hAnsi="Arial" w:cs="Arial"/>
          <w:sz w:val="24"/>
          <w:szCs w:val="24"/>
        </w:rPr>
      </w:pPr>
      <w:r>
        <w:rPr>
          <w:rFonts w:ascii="Arial" w:hAnsi="Arial" w:cs="Arial"/>
          <w:sz w:val="24"/>
          <w:szCs w:val="24"/>
        </w:rPr>
        <w:t>En el caso de que el par telefónico dependa de una Central, mediante el Código de Central (MIGA), se debe verificar el equipamiento y disponibilidad de los distintos servicios de dicha Central en el fichero “Lista de Centrales y Nodos Remotos” (explicado en el punto 3.4. del documento “090527 Guía de Uso de Información de Cobertura de Acceso Indirecto sobre Cobre.doc”.). Si para un mismo Código de Central (MIGA) existen varios registros de información, deberá seleccionarse el registro que contenga el valor “CENTRAL” en el campo “Recinto Contenedor”.</w:t>
      </w:r>
    </w:p>
    <w:p w:rsidR="00E02C27" w:rsidRDefault="00E02C27">
      <w:pPr>
        <w:numPr>
          <w:ilvl w:val="0"/>
          <w:numId w:val="35"/>
        </w:numPr>
        <w:tabs>
          <w:tab w:val="clear" w:pos="2138"/>
          <w:tab w:val="num" w:pos="720"/>
        </w:tabs>
        <w:spacing w:before="60" w:after="60"/>
        <w:ind w:left="720"/>
        <w:rPr>
          <w:rFonts w:ascii="Arial" w:hAnsi="Arial" w:cs="Arial"/>
          <w:sz w:val="24"/>
          <w:szCs w:val="24"/>
        </w:rPr>
      </w:pPr>
      <w:r>
        <w:rPr>
          <w:rFonts w:ascii="Arial" w:hAnsi="Arial" w:cs="Arial"/>
          <w:sz w:val="24"/>
          <w:szCs w:val="24"/>
        </w:rPr>
        <w:t>En el caso de que el par telefónico dependa de un Nodo Remoto, mediante el Código de Localización (ATLAS), se verificará el equipamiento y disponibilidad de servicios en dicho Nodo Remoto en el fichero “Lista de Centrales y Nodos Remotos” (explicado en el punto 3.4. del documento “090527 Guía de Uso de Información de Cobertura de Acceso Indirecto sobre Cobre.doc”.).</w:t>
      </w:r>
    </w:p>
    <w:p w:rsidR="00E02C27" w:rsidRDefault="00E02C27">
      <w:pPr>
        <w:spacing w:before="60" w:after="60"/>
        <w:ind w:left="0"/>
        <w:rPr>
          <w:rFonts w:ascii="Arial" w:hAnsi="Arial" w:cs="Arial"/>
          <w:bCs/>
          <w:iCs/>
          <w:sz w:val="24"/>
          <w:szCs w:val="24"/>
        </w:rPr>
      </w:pPr>
      <w:r>
        <w:rPr>
          <w:rFonts w:ascii="Arial" w:hAnsi="Arial" w:cs="Arial"/>
          <w:bCs/>
          <w:iCs/>
          <w:sz w:val="24"/>
          <w:szCs w:val="24"/>
        </w:rPr>
        <w:t>Esquemáticamente, la consulta de cobertura para el caso de servicios de acceso indirecto se debería realizar tal como se indica en la figura siguiente.</w:t>
      </w:r>
    </w:p>
    <w:p w:rsidR="00E02C27" w:rsidRDefault="00E5554F">
      <w:pPr>
        <w:spacing w:before="120" w:after="120"/>
        <w:ind w:left="545" w:hanging="545"/>
        <w:jc w:val="center"/>
        <w:rPr>
          <w:rFonts w:ascii="Arial" w:hAnsi="Arial" w:cs="Arial"/>
        </w:rPr>
      </w:pPr>
      <w:r>
        <w:rPr>
          <w:rFonts w:ascii="Arial" w:hAnsi="Arial" w:cs="Arial"/>
          <w:noProof/>
          <w:sz w:val="24"/>
          <w:szCs w:val="24"/>
        </w:rPr>
        <w:drawing>
          <wp:inline distT="0" distB="0" distL="0" distR="0" wp14:anchorId="68DA5C41" wp14:editId="1C1228B2">
            <wp:extent cx="4450080" cy="3093720"/>
            <wp:effectExtent l="0" t="0" r="762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0080" cy="3093720"/>
                    </a:xfrm>
                    <a:prstGeom prst="rect">
                      <a:avLst/>
                    </a:prstGeom>
                    <a:noFill/>
                    <a:ln>
                      <a:noFill/>
                    </a:ln>
                  </pic:spPr>
                </pic:pic>
              </a:graphicData>
            </a:graphic>
          </wp:inline>
        </w:drawing>
      </w:r>
    </w:p>
    <w:p w:rsidR="00E02C27" w:rsidRDefault="00E02C27">
      <w:pPr>
        <w:spacing w:before="120" w:after="120"/>
        <w:ind w:left="545" w:hanging="545"/>
        <w:jc w:val="center"/>
        <w:rPr>
          <w:rFonts w:ascii="Arial" w:hAnsi="Arial" w:cs="Arial"/>
          <w:i/>
        </w:rPr>
      </w:pPr>
      <w:r>
        <w:rPr>
          <w:rFonts w:ascii="Arial" w:hAnsi="Arial" w:cs="Arial"/>
          <w:i/>
        </w:rPr>
        <w:t>Figura 1</w:t>
      </w:r>
    </w:p>
    <w:p w:rsidR="00E02C27" w:rsidRDefault="00E02C27" w:rsidP="006B5381">
      <w:pPr>
        <w:pStyle w:val="EstiloTitulo2"/>
      </w:pPr>
      <w:bookmarkStart w:id="115" w:name="_Toc259088019"/>
      <w:bookmarkStart w:id="116" w:name="_Toc259088020"/>
      <w:bookmarkStart w:id="117" w:name="_Toc250733174"/>
      <w:bookmarkStart w:id="118" w:name="_Toc444784495"/>
      <w:bookmarkEnd w:id="115"/>
      <w:bookmarkEnd w:id="116"/>
      <w:bookmarkEnd w:id="117"/>
      <w:r>
        <w:t>Cobertura de acceso indirecto xDSL mediante Web Services, situación actual</w:t>
      </w:r>
      <w:bookmarkEnd w:id="118"/>
    </w:p>
    <w:p w:rsidR="00E02C27" w:rsidRDefault="00E02C27">
      <w:pPr>
        <w:spacing w:before="240" w:after="60"/>
        <w:ind w:left="0"/>
        <w:rPr>
          <w:rFonts w:ascii="Arial" w:hAnsi="Arial" w:cs="Arial"/>
          <w:sz w:val="24"/>
          <w:szCs w:val="24"/>
        </w:rPr>
      </w:pPr>
      <w:r>
        <w:rPr>
          <w:rFonts w:ascii="Arial" w:hAnsi="Arial" w:cs="Arial"/>
          <w:sz w:val="24"/>
          <w:szCs w:val="24"/>
        </w:rPr>
        <w:t>Actualmente, la consulta de cobertura de servicios de acceso indirecto sobre cobre también se puede realizar mediante una única consulta mediante un web service de cobertura de servicio indirecto .</w:t>
      </w:r>
    </w:p>
    <w:p w:rsidR="00E02C27" w:rsidRDefault="00E02C27">
      <w:pPr>
        <w:spacing w:before="60" w:after="60"/>
        <w:ind w:left="0"/>
        <w:rPr>
          <w:rFonts w:ascii="Arial" w:hAnsi="Arial" w:cs="Arial"/>
          <w:sz w:val="24"/>
          <w:szCs w:val="24"/>
        </w:rPr>
      </w:pPr>
      <w:r>
        <w:rPr>
          <w:rFonts w:ascii="Arial" w:hAnsi="Arial" w:cs="Arial"/>
          <w:sz w:val="24"/>
          <w:szCs w:val="24"/>
        </w:rPr>
        <w:t>Dicho WS permite al Operador consultar la validez de un par para una modalidad y un servicio, tanto por teléfono como por dirección (GESCAL). Por lo tanto, tendrá los siguientes datos de entrada:</w:t>
      </w:r>
    </w:p>
    <w:p w:rsidR="00E02C27" w:rsidRDefault="00E02C27">
      <w:pPr>
        <w:numPr>
          <w:ilvl w:val="0"/>
          <w:numId w:val="47"/>
        </w:numPr>
        <w:spacing w:before="60" w:after="60"/>
        <w:rPr>
          <w:rFonts w:ascii="Arial" w:hAnsi="Arial" w:cs="Arial"/>
          <w:sz w:val="24"/>
          <w:szCs w:val="24"/>
        </w:rPr>
      </w:pPr>
      <w:r>
        <w:rPr>
          <w:rFonts w:ascii="Arial" w:hAnsi="Arial" w:cs="Arial"/>
          <w:sz w:val="24"/>
          <w:szCs w:val="24"/>
        </w:rPr>
        <w:t>Referencia:</w:t>
      </w:r>
    </w:p>
    <w:p w:rsidR="00E02C27" w:rsidRDefault="00E02C27">
      <w:pPr>
        <w:numPr>
          <w:ilvl w:val="2"/>
          <w:numId w:val="47"/>
        </w:numPr>
        <w:spacing w:before="60" w:after="60"/>
        <w:rPr>
          <w:rFonts w:ascii="Arial" w:hAnsi="Arial" w:cs="Arial"/>
          <w:sz w:val="24"/>
          <w:szCs w:val="24"/>
        </w:rPr>
      </w:pPr>
      <w:r>
        <w:rPr>
          <w:rFonts w:ascii="Arial" w:hAnsi="Arial" w:cs="Arial"/>
          <w:sz w:val="24"/>
          <w:szCs w:val="24"/>
        </w:rPr>
        <w:t xml:space="preserve">Teléfono (si la consulta es por teléfono) </w:t>
      </w:r>
    </w:p>
    <w:p w:rsidR="00E02C27" w:rsidRDefault="00E02C27">
      <w:pPr>
        <w:numPr>
          <w:ilvl w:val="2"/>
          <w:numId w:val="47"/>
        </w:numPr>
        <w:spacing w:before="60" w:after="60"/>
        <w:rPr>
          <w:rFonts w:ascii="Arial" w:hAnsi="Arial" w:cs="Arial"/>
          <w:sz w:val="24"/>
          <w:szCs w:val="24"/>
        </w:rPr>
      </w:pPr>
      <w:r>
        <w:rPr>
          <w:rFonts w:ascii="Arial" w:hAnsi="Arial" w:cs="Arial"/>
          <w:sz w:val="24"/>
          <w:szCs w:val="24"/>
        </w:rPr>
        <w:t>Domicilio (Gescal 37) si la consulta es por domicilio</w:t>
      </w:r>
    </w:p>
    <w:p w:rsidR="00E02C27" w:rsidRDefault="00E02C27">
      <w:pPr>
        <w:numPr>
          <w:ilvl w:val="0"/>
          <w:numId w:val="47"/>
        </w:numPr>
        <w:spacing w:before="60" w:after="60"/>
        <w:rPr>
          <w:rFonts w:ascii="Arial" w:hAnsi="Arial" w:cs="Arial"/>
          <w:sz w:val="24"/>
          <w:szCs w:val="24"/>
        </w:rPr>
      </w:pPr>
      <w:r>
        <w:rPr>
          <w:rFonts w:ascii="Arial" w:hAnsi="Arial" w:cs="Arial"/>
          <w:sz w:val="24"/>
          <w:szCs w:val="24"/>
        </w:rPr>
        <w:t>Modalidad</w:t>
      </w:r>
    </w:p>
    <w:p w:rsidR="00E02C27" w:rsidRDefault="00E02C27">
      <w:pPr>
        <w:numPr>
          <w:ilvl w:val="0"/>
          <w:numId w:val="47"/>
        </w:numPr>
        <w:spacing w:before="60" w:after="60"/>
        <w:rPr>
          <w:rFonts w:ascii="Arial" w:hAnsi="Arial" w:cs="Arial"/>
          <w:sz w:val="24"/>
          <w:szCs w:val="24"/>
        </w:rPr>
      </w:pPr>
      <w:r>
        <w:rPr>
          <w:rFonts w:ascii="Arial" w:hAnsi="Arial" w:cs="Arial"/>
          <w:sz w:val="24"/>
          <w:szCs w:val="24"/>
        </w:rPr>
        <w:t>Servicio de acceso indirecto (NEBA)</w:t>
      </w:r>
    </w:p>
    <w:p w:rsidR="00E02C27" w:rsidRDefault="00E02C27">
      <w:pPr>
        <w:numPr>
          <w:ilvl w:val="0"/>
          <w:numId w:val="47"/>
        </w:numPr>
        <w:spacing w:before="60" w:after="60"/>
        <w:rPr>
          <w:rFonts w:ascii="Arial" w:hAnsi="Arial" w:cs="Arial"/>
          <w:sz w:val="24"/>
          <w:szCs w:val="24"/>
        </w:rPr>
      </w:pPr>
      <w:r>
        <w:rPr>
          <w:rFonts w:ascii="Arial" w:hAnsi="Arial" w:cs="Arial"/>
          <w:sz w:val="24"/>
          <w:szCs w:val="24"/>
        </w:rPr>
        <w:t>Movimiento (Alta o Postventa)</w:t>
      </w:r>
      <w:r>
        <w:rPr>
          <w:rStyle w:val="Refdenotaalpie"/>
          <w:rFonts w:ascii="Arial" w:hAnsi="Arial" w:cs="Arial"/>
          <w:sz w:val="24"/>
          <w:szCs w:val="24"/>
        </w:rPr>
        <w:footnoteReference w:id="9"/>
      </w:r>
    </w:p>
    <w:p w:rsidR="00E02C27" w:rsidRDefault="00E02C27">
      <w:pPr>
        <w:numPr>
          <w:ilvl w:val="0"/>
          <w:numId w:val="47"/>
        </w:numPr>
        <w:spacing w:before="60" w:after="60"/>
        <w:rPr>
          <w:rFonts w:ascii="Arial" w:hAnsi="Arial" w:cs="Arial"/>
          <w:sz w:val="24"/>
          <w:szCs w:val="24"/>
        </w:rPr>
      </w:pPr>
      <w:r>
        <w:rPr>
          <w:rFonts w:ascii="Arial" w:hAnsi="Arial" w:cs="Arial"/>
          <w:sz w:val="24"/>
          <w:szCs w:val="24"/>
        </w:rPr>
        <w:t>Tipo de Línea (STB o RDSI)</w:t>
      </w:r>
    </w:p>
    <w:p w:rsidR="00E02C27" w:rsidRDefault="00E02C27">
      <w:pPr>
        <w:spacing w:before="60" w:after="60"/>
        <w:ind w:left="0"/>
        <w:rPr>
          <w:rFonts w:ascii="Arial" w:hAnsi="Arial" w:cs="Arial"/>
          <w:sz w:val="24"/>
          <w:szCs w:val="24"/>
        </w:rPr>
      </w:pPr>
      <w:r>
        <w:rPr>
          <w:rFonts w:ascii="Arial" w:hAnsi="Arial" w:cs="Arial"/>
          <w:sz w:val="24"/>
          <w:szCs w:val="24"/>
        </w:rPr>
        <w:t>Los datos de salida serán:</w:t>
      </w:r>
    </w:p>
    <w:p w:rsidR="00E02C27" w:rsidRDefault="00E02C27">
      <w:pPr>
        <w:numPr>
          <w:ilvl w:val="2"/>
          <w:numId w:val="15"/>
        </w:numPr>
        <w:spacing w:before="60" w:after="60"/>
        <w:rPr>
          <w:rFonts w:ascii="Arial" w:hAnsi="Arial" w:cs="Arial"/>
          <w:sz w:val="24"/>
          <w:szCs w:val="24"/>
        </w:rPr>
      </w:pPr>
      <w:r>
        <w:rPr>
          <w:rFonts w:ascii="Arial" w:hAnsi="Arial" w:cs="Arial"/>
          <w:sz w:val="24"/>
          <w:szCs w:val="24"/>
        </w:rPr>
        <w:t>Disponibilidad o indisponibilidad</w:t>
      </w:r>
    </w:p>
    <w:p w:rsidR="00E02C27" w:rsidRDefault="00E02C27">
      <w:pPr>
        <w:numPr>
          <w:ilvl w:val="2"/>
          <w:numId w:val="15"/>
        </w:numPr>
        <w:spacing w:before="60" w:after="60"/>
        <w:rPr>
          <w:rFonts w:ascii="Arial" w:hAnsi="Arial" w:cs="Arial"/>
          <w:sz w:val="24"/>
          <w:szCs w:val="24"/>
        </w:rPr>
      </w:pPr>
      <w:r>
        <w:rPr>
          <w:rFonts w:ascii="Arial" w:hAnsi="Arial" w:cs="Arial"/>
          <w:sz w:val="24"/>
          <w:szCs w:val="24"/>
        </w:rPr>
        <w:t>En caso de indisponibilidad, código de Rechazo</w:t>
      </w:r>
    </w:p>
    <w:p w:rsidR="00E02C27" w:rsidRDefault="00E02C27">
      <w:pPr>
        <w:spacing w:before="60" w:after="60"/>
        <w:ind w:left="0"/>
        <w:rPr>
          <w:rFonts w:ascii="Arial" w:hAnsi="Arial" w:cs="Arial"/>
          <w:sz w:val="24"/>
          <w:szCs w:val="24"/>
        </w:rPr>
      </w:pPr>
      <w:r>
        <w:rPr>
          <w:rFonts w:ascii="Arial" w:hAnsi="Arial" w:cs="Arial"/>
          <w:sz w:val="24"/>
          <w:szCs w:val="24"/>
        </w:rPr>
        <w:t>El WS de referencia devuelve la información de la misma forma que actualmente devuelve el SGO para el mismo tipo de consulta. Esquemáticamente se resume en la Figura 2.</w:t>
      </w:r>
    </w:p>
    <w:p w:rsidR="00E02C27" w:rsidRDefault="00E5554F">
      <w:pPr>
        <w:spacing w:before="240"/>
        <w:ind w:left="1418" w:hanging="545"/>
        <w:rPr>
          <w:rFonts w:ascii="Arial" w:hAnsi="Arial" w:cs="Arial"/>
          <w:sz w:val="24"/>
          <w:szCs w:val="24"/>
        </w:rPr>
      </w:pPr>
      <w:r>
        <w:rPr>
          <w:rFonts w:ascii="Arial" w:hAnsi="Arial" w:cs="Arial"/>
          <w:noProof/>
          <w:sz w:val="24"/>
          <w:szCs w:val="24"/>
        </w:rPr>
        <w:drawing>
          <wp:inline distT="0" distB="0" distL="0" distR="0" wp14:anchorId="7FAFEA89" wp14:editId="1AC57A9D">
            <wp:extent cx="5608320" cy="198882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08320" cy="1988820"/>
                    </a:xfrm>
                    <a:prstGeom prst="rect">
                      <a:avLst/>
                    </a:prstGeom>
                    <a:noFill/>
                    <a:ln>
                      <a:noFill/>
                    </a:ln>
                  </pic:spPr>
                </pic:pic>
              </a:graphicData>
            </a:graphic>
          </wp:inline>
        </w:drawing>
      </w:r>
    </w:p>
    <w:p w:rsidR="00E02C27" w:rsidRDefault="00E02C27">
      <w:pPr>
        <w:spacing w:before="240" w:after="120"/>
        <w:ind w:left="1418" w:hanging="545"/>
        <w:jc w:val="center"/>
        <w:rPr>
          <w:rFonts w:ascii="Arial" w:hAnsi="Arial" w:cs="Arial"/>
          <w:i/>
          <w:sz w:val="24"/>
          <w:szCs w:val="24"/>
        </w:rPr>
      </w:pPr>
      <w:r>
        <w:rPr>
          <w:rFonts w:ascii="Arial" w:hAnsi="Arial" w:cs="Arial"/>
          <w:i/>
          <w:sz w:val="24"/>
          <w:szCs w:val="24"/>
        </w:rPr>
        <w:t>Figura 2</w:t>
      </w:r>
    </w:p>
    <w:p w:rsidR="00E02C27" w:rsidRDefault="00E02C27">
      <w:pPr>
        <w:spacing w:before="60" w:after="60"/>
        <w:ind w:left="0"/>
        <w:rPr>
          <w:rFonts w:ascii="Arial" w:hAnsi="Arial" w:cs="Arial"/>
          <w:sz w:val="24"/>
          <w:szCs w:val="24"/>
        </w:rPr>
      </w:pPr>
      <w:r>
        <w:rPr>
          <w:rFonts w:ascii="Arial" w:hAnsi="Arial" w:cs="Arial"/>
          <w:sz w:val="24"/>
          <w:szCs w:val="24"/>
        </w:rPr>
        <w:t>De esta forma, el Operador puede habilitar una consulta directa de la validez de un par para una determinada modalidad de un servicio online en un solo paso.</w:t>
      </w:r>
    </w:p>
    <w:p w:rsidR="00E02C27" w:rsidRDefault="00E02C27">
      <w:pPr>
        <w:spacing w:before="240"/>
        <w:ind w:left="0" w:hanging="545"/>
        <w:rPr>
          <w:rFonts w:ascii="Arial" w:hAnsi="Arial" w:cs="Arial"/>
        </w:rPr>
      </w:pPr>
    </w:p>
    <w:p w:rsidR="00E02C27" w:rsidRDefault="00E02C27" w:rsidP="006B5381">
      <w:pPr>
        <w:pStyle w:val="EstiloTitulo2"/>
      </w:pPr>
      <w:bookmarkStart w:id="119" w:name="_Toc444784496"/>
      <w:r>
        <w:t>Información de centrales con cobertura de fibra</w:t>
      </w:r>
      <w:bookmarkEnd w:id="119"/>
    </w:p>
    <w:p w:rsidR="00E02C27" w:rsidRDefault="00E02C27">
      <w:pPr>
        <w:pStyle w:val="Textoindependiente"/>
        <w:spacing w:before="240"/>
        <w:ind w:left="0"/>
        <w:rPr>
          <w:rFonts w:ascii="Arial" w:hAnsi="Arial" w:cs="Arial"/>
          <w:szCs w:val="24"/>
          <w:lang w:val="es-ES"/>
        </w:rPr>
      </w:pPr>
      <w:r>
        <w:rPr>
          <w:rFonts w:ascii="Arial" w:hAnsi="Arial" w:cs="Arial"/>
          <w:szCs w:val="24"/>
          <w:lang w:val="es-ES"/>
        </w:rPr>
        <w:t>Telefónica ofrece actualmente la información de despliegue de fibra siguiente:</w:t>
      </w:r>
    </w:p>
    <w:p w:rsidR="00E02C27" w:rsidRDefault="00E02C27">
      <w:pPr>
        <w:spacing w:before="240"/>
        <w:ind w:left="0"/>
        <w:rPr>
          <w:rFonts w:ascii="Arial" w:hAnsi="Arial" w:cs="Arial"/>
          <w:sz w:val="24"/>
          <w:szCs w:val="24"/>
        </w:rPr>
      </w:pPr>
      <w:r>
        <w:rPr>
          <w:rFonts w:ascii="Arial" w:hAnsi="Arial" w:cs="Arial"/>
          <w:bCs/>
          <w:sz w:val="24"/>
          <w:szCs w:val="24"/>
          <w:u w:val="single"/>
        </w:rPr>
        <w:t>Fichero 0</w:t>
      </w:r>
      <w:r>
        <w:rPr>
          <w:rFonts w:ascii="Arial" w:hAnsi="Arial" w:cs="Arial"/>
          <w:bCs/>
          <w:sz w:val="24"/>
          <w:szCs w:val="24"/>
        </w:rPr>
        <w:t>:</w:t>
      </w:r>
      <w:r>
        <w:rPr>
          <w:rFonts w:ascii="Arial" w:hAnsi="Arial" w:cs="Arial"/>
          <w:sz w:val="24"/>
          <w:szCs w:val="24"/>
        </w:rPr>
        <w:tab/>
        <w:t>“Relación centrales colectoras de fibra/centrales de cobre”. Este fichero contiene la relación de las centrales colectoras de fibra y las actuales centrales que están en su área de influencia, proporcionando información del despliegue de fibra de Telefónica España. Ver Cuadro 1</w:t>
      </w:r>
    </w:p>
    <w:p w:rsidR="00E02C27" w:rsidRDefault="00E5554F">
      <w:pPr>
        <w:spacing w:before="120" w:after="120"/>
        <w:ind w:left="1418" w:hanging="545"/>
        <w:jc w:val="center"/>
        <w:rPr>
          <w:rFonts w:ascii="Arial" w:hAnsi="Arial" w:cs="Arial"/>
          <w:sz w:val="24"/>
          <w:szCs w:val="24"/>
        </w:rPr>
      </w:pPr>
      <w:r>
        <w:rPr>
          <w:rFonts w:ascii="Arial" w:hAnsi="Arial" w:cs="Arial"/>
          <w:noProof/>
          <w:sz w:val="24"/>
          <w:szCs w:val="24"/>
        </w:rPr>
        <w:drawing>
          <wp:inline distT="0" distB="0" distL="0" distR="0" wp14:anchorId="24FDA1A5" wp14:editId="312EEACB">
            <wp:extent cx="4808220" cy="309372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08220" cy="3093720"/>
                    </a:xfrm>
                    <a:prstGeom prst="rect">
                      <a:avLst/>
                    </a:prstGeom>
                    <a:noFill/>
                    <a:ln>
                      <a:noFill/>
                    </a:ln>
                  </pic:spPr>
                </pic:pic>
              </a:graphicData>
            </a:graphic>
          </wp:inline>
        </w:drawing>
      </w:r>
    </w:p>
    <w:p w:rsidR="00E02C27" w:rsidRDefault="00E02C27">
      <w:pPr>
        <w:spacing w:before="120" w:after="120"/>
        <w:ind w:left="1418" w:hanging="545"/>
        <w:jc w:val="center"/>
        <w:rPr>
          <w:rFonts w:ascii="Arial" w:hAnsi="Arial" w:cs="Arial"/>
          <w:i/>
          <w:sz w:val="24"/>
          <w:szCs w:val="24"/>
        </w:rPr>
      </w:pPr>
      <w:r>
        <w:rPr>
          <w:rFonts w:ascii="Arial" w:hAnsi="Arial" w:cs="Arial"/>
          <w:i/>
          <w:sz w:val="24"/>
          <w:szCs w:val="24"/>
        </w:rPr>
        <w:t>Cuadro 1</w:t>
      </w:r>
    </w:p>
    <w:p w:rsidR="00E02C27" w:rsidRDefault="00E02C27">
      <w:pPr>
        <w:pStyle w:val="Textoindependiente"/>
        <w:spacing w:before="240"/>
        <w:ind w:left="0"/>
        <w:rPr>
          <w:rFonts w:ascii="Arial" w:hAnsi="Arial" w:cs="Arial"/>
          <w:szCs w:val="24"/>
          <w:lang w:val="es-ES"/>
        </w:rPr>
      </w:pPr>
      <w:r>
        <w:rPr>
          <w:rFonts w:ascii="Arial" w:hAnsi="Arial" w:cs="Arial"/>
          <w:szCs w:val="24"/>
          <w:lang w:val="es-ES"/>
        </w:rPr>
        <w:t>Este fichero se actualiza mensualmente (si hay cambios).</w:t>
      </w:r>
    </w:p>
    <w:p w:rsidR="00E02C27" w:rsidRDefault="00E02C27">
      <w:pPr>
        <w:spacing w:before="240"/>
        <w:ind w:left="0"/>
        <w:rPr>
          <w:rFonts w:ascii="Arial" w:hAnsi="Arial" w:cs="Arial"/>
          <w:sz w:val="24"/>
          <w:szCs w:val="24"/>
        </w:rPr>
      </w:pPr>
      <w:r>
        <w:rPr>
          <w:rFonts w:ascii="Arial" w:hAnsi="Arial" w:cs="Arial"/>
          <w:bCs/>
          <w:sz w:val="24"/>
          <w:szCs w:val="24"/>
          <w:u w:val="single"/>
        </w:rPr>
        <w:t>Fichero 1</w:t>
      </w:r>
      <w:r>
        <w:rPr>
          <w:rFonts w:ascii="Arial" w:hAnsi="Arial" w:cs="Arial"/>
          <w:bCs/>
          <w:sz w:val="24"/>
          <w:szCs w:val="24"/>
        </w:rPr>
        <w:t>:</w:t>
      </w:r>
      <w:r>
        <w:rPr>
          <w:rFonts w:ascii="Arial" w:hAnsi="Arial" w:cs="Arial"/>
          <w:sz w:val="24"/>
          <w:szCs w:val="24"/>
        </w:rPr>
        <w:t xml:space="preserve"> “Relación centrales colectoras en servicio y previstas”. En este fichero se enumeran las centrales colectoras de fibra en servicio y las que tienen prevista su apertura en </w:t>
      </w:r>
      <w:r w:rsidR="007D30BE">
        <w:rPr>
          <w:rFonts w:ascii="Arial" w:hAnsi="Arial" w:cs="Arial"/>
          <w:sz w:val="24"/>
          <w:szCs w:val="24"/>
        </w:rPr>
        <w:t>el plazo determinado por la regulación vigente</w:t>
      </w:r>
      <w:r>
        <w:rPr>
          <w:rFonts w:ascii="Arial" w:hAnsi="Arial" w:cs="Arial"/>
          <w:sz w:val="24"/>
          <w:szCs w:val="24"/>
        </w:rPr>
        <w:t>, ofreciendo información de la evolución del despliegue de fibra de Telefónica España. Ver Cuadro 2.</w:t>
      </w:r>
    </w:p>
    <w:p w:rsidR="00E02C27" w:rsidRDefault="00E5554F">
      <w:pPr>
        <w:spacing w:before="120" w:after="120"/>
        <w:ind w:left="1418" w:hanging="545"/>
        <w:jc w:val="center"/>
        <w:rPr>
          <w:rFonts w:ascii="Arial" w:hAnsi="Arial" w:cs="Arial"/>
        </w:rPr>
      </w:pPr>
      <w:r>
        <w:rPr>
          <w:rFonts w:ascii="Arial" w:hAnsi="Arial" w:cs="Arial"/>
          <w:noProof/>
          <w:sz w:val="24"/>
          <w:szCs w:val="24"/>
        </w:rPr>
        <w:drawing>
          <wp:inline distT="0" distB="0" distL="0" distR="0" wp14:anchorId="6FF23BE5" wp14:editId="3AF0AB57">
            <wp:extent cx="4389120" cy="3002280"/>
            <wp:effectExtent l="0" t="0" r="0" b="762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89120" cy="3002280"/>
                    </a:xfrm>
                    <a:prstGeom prst="rect">
                      <a:avLst/>
                    </a:prstGeom>
                    <a:noFill/>
                    <a:ln>
                      <a:noFill/>
                    </a:ln>
                  </pic:spPr>
                </pic:pic>
              </a:graphicData>
            </a:graphic>
          </wp:inline>
        </w:drawing>
      </w:r>
    </w:p>
    <w:p w:rsidR="00E02C27" w:rsidRDefault="00E02C27">
      <w:pPr>
        <w:spacing w:before="120" w:after="120"/>
        <w:ind w:left="1418" w:hanging="545"/>
        <w:jc w:val="center"/>
        <w:rPr>
          <w:rFonts w:ascii="Arial" w:hAnsi="Arial" w:cs="Arial"/>
          <w:i/>
        </w:rPr>
      </w:pPr>
      <w:r>
        <w:rPr>
          <w:rFonts w:ascii="Arial" w:hAnsi="Arial" w:cs="Arial"/>
          <w:i/>
        </w:rPr>
        <w:t>Cuadro 2</w:t>
      </w:r>
    </w:p>
    <w:p w:rsidR="00E02C27" w:rsidRDefault="00E02C27">
      <w:pPr>
        <w:spacing w:before="120" w:after="120"/>
        <w:ind w:left="1418" w:hanging="545"/>
        <w:jc w:val="center"/>
        <w:rPr>
          <w:rFonts w:ascii="Arial" w:hAnsi="Arial" w:cs="Arial"/>
          <w:i/>
        </w:rPr>
      </w:pPr>
      <w:r>
        <w:rPr>
          <w:rFonts w:ascii="Arial" w:hAnsi="Arial" w:cs="Arial"/>
          <w:i/>
        </w:rPr>
        <w:br w:type="page"/>
      </w:r>
    </w:p>
    <w:p w:rsidR="00E02C27" w:rsidRDefault="00E02C27">
      <w:pPr>
        <w:pStyle w:val="EstiloTtulo1"/>
      </w:pPr>
      <w:bookmarkStart w:id="120" w:name="_Toc444784497"/>
      <w:r>
        <w:t>ANEXO 2: FORMATO CÓDIGO GESCAL</w:t>
      </w:r>
      <w:bookmarkEnd w:id="120"/>
    </w:p>
    <w:p w:rsidR="00E02C27" w:rsidRDefault="00E02C27">
      <w:pPr>
        <w:rPr>
          <w:rFonts w:ascii="Arial" w:hAnsi="Arial" w:cs="Arial"/>
        </w:rPr>
      </w:pPr>
    </w:p>
    <w:p w:rsidR="00E02C27" w:rsidRDefault="00E02C27">
      <w:pPr>
        <w:pStyle w:val="Ttulo2"/>
        <w:tabs>
          <w:tab w:val="clear" w:pos="84"/>
          <w:tab w:val="num" w:pos="576"/>
        </w:tabs>
        <w:ind w:left="576"/>
        <w:rPr>
          <w:rFonts w:ascii="Arial" w:hAnsi="Arial" w:cs="Arial"/>
          <w:snapToGrid/>
        </w:rPr>
      </w:pPr>
      <w:bookmarkStart w:id="121" w:name="_Toc255490152"/>
      <w:bookmarkStart w:id="122" w:name="_Toc444784498"/>
      <w:r>
        <w:rPr>
          <w:rFonts w:ascii="Arial" w:hAnsi="Arial" w:cs="Arial"/>
          <w:snapToGrid/>
        </w:rPr>
        <w:t>Formato del código GESCAL</w:t>
      </w:r>
      <w:bookmarkEnd w:id="121"/>
      <w:bookmarkEnd w:id="122"/>
    </w:p>
    <w:p w:rsidR="00E02C27" w:rsidRDefault="00E02C27">
      <w:pPr>
        <w:pStyle w:val="Textoindependiente"/>
      </w:pPr>
    </w:p>
    <w:p w:rsidR="00E02C27" w:rsidRDefault="00E02C27">
      <w:pPr>
        <w:spacing w:after="120"/>
        <w:ind w:left="0"/>
        <w:rPr>
          <w:rFonts w:ascii="Arial" w:hAnsi="Arial" w:cs="Arial"/>
          <w:sz w:val="24"/>
          <w:lang w:val="es-ES_tradnl"/>
        </w:rPr>
      </w:pPr>
      <w:r>
        <w:rPr>
          <w:rFonts w:ascii="Arial" w:hAnsi="Arial" w:cs="Arial"/>
          <w:sz w:val="24"/>
          <w:lang w:val="es-ES_tradnl"/>
        </w:rPr>
        <w:t xml:space="preserve">El código de domicilio GESCAL es un valor alfanumérico de 37 posiciones, subdividido en subcampos que identifican cada una de las entidades geográficas que lo componen. </w:t>
      </w:r>
    </w:p>
    <w:p w:rsidR="00E02C27" w:rsidRDefault="00E02C27">
      <w:pPr>
        <w:pStyle w:val="PORTADALOGO"/>
        <w:spacing w:after="120"/>
        <w:rPr>
          <w:rFonts w:ascii="Arial" w:hAnsi="Arial" w:cs="Arial"/>
        </w:rPr>
      </w:pPr>
      <w:r>
        <w:rPr>
          <w:rFonts w:ascii="Arial" w:hAnsi="Arial" w:cs="Arial"/>
        </w:rPr>
        <w:t>El formato es el siguiente (se resaltan en negrita y subrayados los subcampos obligatorios):</w:t>
      </w:r>
    </w:p>
    <w:p w:rsidR="00E02C27" w:rsidRDefault="00E02C27">
      <w:pPr>
        <w:pStyle w:val="Textoindependiente"/>
      </w:pPr>
    </w:p>
    <w:p w:rsidR="00E02C27" w:rsidRDefault="00E02C27">
      <w:pPr>
        <w:jc w:val="center"/>
        <w:rPr>
          <w:rFonts w:ascii="Arial" w:hAnsi="Arial" w:cs="Arial"/>
          <w:sz w:val="24"/>
          <w:szCs w:val="24"/>
          <w:lang w:val="es-ES_tradnl"/>
        </w:rPr>
      </w:pPr>
      <w:r>
        <w:rPr>
          <w:rFonts w:ascii="Arial" w:hAnsi="Arial" w:cs="Arial"/>
          <w:b/>
          <w:bCs/>
          <w:sz w:val="24"/>
          <w:szCs w:val="24"/>
          <w:u w:val="single"/>
          <w:lang w:val="es-ES_tradnl"/>
        </w:rPr>
        <w:t>PPEEEEECCCCCFFFFF</w:t>
      </w:r>
      <w:r>
        <w:rPr>
          <w:rFonts w:ascii="Arial" w:hAnsi="Arial" w:cs="Arial"/>
          <w:sz w:val="24"/>
          <w:szCs w:val="24"/>
          <w:lang w:val="es-ES_tradnl"/>
        </w:rPr>
        <w:t>BTXXOYLSS</w:t>
      </w:r>
      <w:r>
        <w:rPr>
          <w:rFonts w:ascii="Arial" w:hAnsi="Arial" w:cs="Arial"/>
          <w:b/>
          <w:bCs/>
          <w:sz w:val="24"/>
          <w:szCs w:val="24"/>
          <w:u w:val="single"/>
          <w:lang w:val="es-ES_tradnl"/>
        </w:rPr>
        <w:t>AAA</w:t>
      </w:r>
      <w:r>
        <w:rPr>
          <w:rFonts w:ascii="Arial" w:hAnsi="Arial" w:cs="Arial"/>
          <w:sz w:val="24"/>
          <w:szCs w:val="24"/>
          <w:lang w:val="es-ES_tradnl"/>
        </w:rPr>
        <w:t>MMMMNNNN</w:t>
      </w:r>
    </w:p>
    <w:p w:rsidR="00E02C27" w:rsidRDefault="00E02C27">
      <w:pPr>
        <w:jc w:val="center"/>
        <w:rPr>
          <w:lang w:val="es-ES_tradnl"/>
        </w:rPr>
      </w:pPr>
    </w:p>
    <w:tbl>
      <w:tblPr>
        <w:tblW w:w="8710"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992"/>
        <w:gridCol w:w="3190"/>
        <w:gridCol w:w="992"/>
        <w:gridCol w:w="2190"/>
      </w:tblGrid>
      <w:tr w:rsidR="00E02C27">
        <w:trPr>
          <w:cantSplit/>
          <w:tblHeader/>
        </w:trPr>
        <w:tc>
          <w:tcPr>
            <w:tcW w:w="1346" w:type="dxa"/>
            <w:shd w:val="pct20" w:color="000000" w:fill="FFFFFF"/>
            <w:vAlign w:val="center"/>
          </w:tcPr>
          <w:p w:rsidR="00E02C27" w:rsidRDefault="00E02C27">
            <w:pPr>
              <w:pStyle w:val="tabla"/>
              <w:jc w:val="center"/>
              <w:rPr>
                <w:b/>
                <w:color w:val="FFFFFF"/>
              </w:rPr>
            </w:pPr>
            <w:r>
              <w:rPr>
                <w:b/>
                <w:color w:val="FFFFFF"/>
              </w:rPr>
              <w:t>Entidad Geográfica</w:t>
            </w:r>
          </w:p>
        </w:tc>
        <w:tc>
          <w:tcPr>
            <w:tcW w:w="992" w:type="dxa"/>
            <w:shd w:val="pct20" w:color="000000" w:fill="FFFFFF"/>
            <w:vAlign w:val="center"/>
          </w:tcPr>
          <w:p w:rsidR="00E02C27" w:rsidRDefault="00E02C27">
            <w:pPr>
              <w:pStyle w:val="tabla"/>
              <w:jc w:val="center"/>
              <w:rPr>
                <w:b/>
                <w:color w:val="FFFFFF"/>
              </w:rPr>
            </w:pPr>
          </w:p>
        </w:tc>
        <w:tc>
          <w:tcPr>
            <w:tcW w:w="3190" w:type="dxa"/>
            <w:shd w:val="pct20" w:color="000000" w:fill="FFFFFF"/>
            <w:vAlign w:val="center"/>
          </w:tcPr>
          <w:p w:rsidR="00E02C27" w:rsidRDefault="00E02C27">
            <w:pPr>
              <w:pStyle w:val="tabla"/>
              <w:jc w:val="center"/>
              <w:rPr>
                <w:b/>
                <w:color w:val="FFFFFF"/>
              </w:rPr>
            </w:pPr>
            <w:r>
              <w:rPr>
                <w:b/>
                <w:color w:val="FFFFFF"/>
              </w:rPr>
              <w:t>Nombre</w:t>
            </w:r>
          </w:p>
        </w:tc>
        <w:tc>
          <w:tcPr>
            <w:tcW w:w="992" w:type="dxa"/>
            <w:shd w:val="pct20" w:color="000000" w:fill="FFFFFF"/>
            <w:vAlign w:val="center"/>
          </w:tcPr>
          <w:p w:rsidR="00E02C27" w:rsidRDefault="00E02C27">
            <w:pPr>
              <w:pStyle w:val="tabla"/>
              <w:jc w:val="center"/>
              <w:rPr>
                <w:b/>
                <w:color w:val="FFFFFF"/>
              </w:rPr>
            </w:pPr>
            <w:r>
              <w:rPr>
                <w:b/>
                <w:color w:val="FFFFFF"/>
              </w:rPr>
              <w:t>Formato</w:t>
            </w:r>
          </w:p>
        </w:tc>
        <w:tc>
          <w:tcPr>
            <w:tcW w:w="2190" w:type="dxa"/>
            <w:shd w:val="pct20" w:color="000000" w:fill="FFFFFF"/>
            <w:vAlign w:val="center"/>
          </w:tcPr>
          <w:p w:rsidR="00E02C27" w:rsidRDefault="00E02C27">
            <w:pPr>
              <w:pStyle w:val="tabla"/>
              <w:jc w:val="center"/>
              <w:rPr>
                <w:b/>
                <w:color w:val="FFFFFF"/>
              </w:rPr>
            </w:pPr>
            <w:r>
              <w:rPr>
                <w:b/>
                <w:color w:val="FFFFFF"/>
              </w:rPr>
              <w:t>Observaciones</w:t>
            </w:r>
          </w:p>
        </w:tc>
      </w:tr>
      <w:tr w:rsidR="00E02C27">
        <w:trPr>
          <w:cantSplit/>
        </w:trPr>
        <w:tc>
          <w:tcPr>
            <w:tcW w:w="1346" w:type="dxa"/>
            <w:tcBorders>
              <w:bottom w:val="single" w:sz="12" w:space="0" w:color="auto"/>
            </w:tcBorders>
          </w:tcPr>
          <w:p w:rsidR="00E02C27" w:rsidRDefault="00E02C27">
            <w:pPr>
              <w:pStyle w:val="tabla"/>
            </w:pPr>
            <w:r>
              <w:t>Provincia</w:t>
            </w:r>
          </w:p>
        </w:tc>
        <w:tc>
          <w:tcPr>
            <w:tcW w:w="992" w:type="dxa"/>
            <w:tcBorders>
              <w:bottom w:val="single" w:sz="12" w:space="0" w:color="auto"/>
            </w:tcBorders>
          </w:tcPr>
          <w:p w:rsidR="00E02C27" w:rsidRDefault="00E02C27">
            <w:pPr>
              <w:pStyle w:val="tabla"/>
            </w:pPr>
            <w:r>
              <w:t>PP</w:t>
            </w:r>
          </w:p>
        </w:tc>
        <w:tc>
          <w:tcPr>
            <w:tcW w:w="3190" w:type="dxa"/>
            <w:tcBorders>
              <w:bottom w:val="single" w:sz="12" w:space="0" w:color="auto"/>
            </w:tcBorders>
          </w:tcPr>
          <w:p w:rsidR="00E02C27" w:rsidRDefault="00E02C27">
            <w:pPr>
              <w:pStyle w:val="tabla"/>
              <w:rPr>
                <w:b/>
                <w:bCs/>
              </w:rPr>
            </w:pPr>
            <w:r>
              <w:rPr>
                <w:b/>
                <w:bCs/>
              </w:rPr>
              <w:t>Código de la provincia</w:t>
            </w:r>
          </w:p>
        </w:tc>
        <w:tc>
          <w:tcPr>
            <w:tcW w:w="992" w:type="dxa"/>
            <w:tcBorders>
              <w:bottom w:val="single" w:sz="12" w:space="0" w:color="auto"/>
            </w:tcBorders>
          </w:tcPr>
          <w:p w:rsidR="00E02C27" w:rsidRDefault="00E02C27">
            <w:pPr>
              <w:pStyle w:val="tabla"/>
            </w:pPr>
            <w:r>
              <w:t>Num.</w:t>
            </w:r>
          </w:p>
        </w:tc>
        <w:tc>
          <w:tcPr>
            <w:tcW w:w="2190" w:type="dxa"/>
            <w:tcBorders>
              <w:bottom w:val="single" w:sz="12" w:space="0" w:color="auto"/>
            </w:tcBorders>
          </w:tcPr>
          <w:p w:rsidR="00E02C27" w:rsidRDefault="00E02C27">
            <w:pPr>
              <w:pStyle w:val="tabla"/>
              <w:rPr>
                <w:b/>
                <w:bCs/>
              </w:rPr>
            </w:pPr>
            <w:r>
              <w:rPr>
                <w:b/>
                <w:bCs/>
              </w:rPr>
              <w:t>Obligatorio</w:t>
            </w:r>
          </w:p>
        </w:tc>
      </w:tr>
      <w:tr w:rsidR="00E02C27">
        <w:trPr>
          <w:cantSplit/>
        </w:trPr>
        <w:tc>
          <w:tcPr>
            <w:tcW w:w="1346" w:type="dxa"/>
            <w:tcBorders>
              <w:top w:val="single" w:sz="12" w:space="0" w:color="auto"/>
              <w:bottom w:val="single" w:sz="12" w:space="0" w:color="auto"/>
            </w:tcBorders>
          </w:tcPr>
          <w:p w:rsidR="00E02C27" w:rsidRDefault="00E02C27">
            <w:pPr>
              <w:pStyle w:val="tabla"/>
            </w:pPr>
            <w:r>
              <w:t>Población</w:t>
            </w:r>
          </w:p>
        </w:tc>
        <w:tc>
          <w:tcPr>
            <w:tcW w:w="992" w:type="dxa"/>
            <w:tcBorders>
              <w:top w:val="single" w:sz="12" w:space="0" w:color="auto"/>
              <w:bottom w:val="single" w:sz="12" w:space="0" w:color="auto"/>
            </w:tcBorders>
          </w:tcPr>
          <w:p w:rsidR="00E02C27" w:rsidRDefault="00E02C27">
            <w:pPr>
              <w:pStyle w:val="tabla"/>
            </w:pPr>
            <w:r>
              <w:t>EEEEE</w:t>
            </w:r>
          </w:p>
        </w:tc>
        <w:tc>
          <w:tcPr>
            <w:tcW w:w="3190" w:type="dxa"/>
            <w:tcBorders>
              <w:top w:val="single" w:sz="12" w:space="0" w:color="auto"/>
              <w:bottom w:val="single" w:sz="12" w:space="0" w:color="auto"/>
            </w:tcBorders>
          </w:tcPr>
          <w:p w:rsidR="00E02C27" w:rsidRDefault="00E02C27">
            <w:pPr>
              <w:pStyle w:val="tabla"/>
              <w:rPr>
                <w:b/>
                <w:bCs/>
              </w:rPr>
            </w:pPr>
            <w:r>
              <w:rPr>
                <w:b/>
                <w:bCs/>
              </w:rPr>
              <w:t>Número de Entidad de Población</w:t>
            </w:r>
          </w:p>
        </w:tc>
        <w:tc>
          <w:tcPr>
            <w:tcW w:w="992" w:type="dxa"/>
            <w:tcBorders>
              <w:top w:val="single" w:sz="12" w:space="0" w:color="auto"/>
              <w:bottom w:val="single" w:sz="12" w:space="0" w:color="auto"/>
            </w:tcBorders>
          </w:tcPr>
          <w:p w:rsidR="00E02C27" w:rsidRDefault="00E02C27">
            <w:pPr>
              <w:pStyle w:val="tabla"/>
            </w:pPr>
            <w:r>
              <w:t>Num.</w:t>
            </w:r>
          </w:p>
        </w:tc>
        <w:tc>
          <w:tcPr>
            <w:tcW w:w="2190" w:type="dxa"/>
            <w:tcBorders>
              <w:top w:val="single" w:sz="12" w:space="0" w:color="auto"/>
              <w:bottom w:val="single" w:sz="12" w:space="0" w:color="auto"/>
            </w:tcBorders>
          </w:tcPr>
          <w:p w:rsidR="00E02C27" w:rsidRDefault="00E02C27">
            <w:pPr>
              <w:pStyle w:val="tabla"/>
              <w:rPr>
                <w:b/>
                <w:bCs/>
              </w:rPr>
            </w:pPr>
            <w:r>
              <w:rPr>
                <w:b/>
                <w:bCs/>
              </w:rPr>
              <w:t>Obligatorio</w:t>
            </w:r>
          </w:p>
        </w:tc>
      </w:tr>
      <w:tr w:rsidR="00E02C27">
        <w:trPr>
          <w:cantSplit/>
        </w:trPr>
        <w:tc>
          <w:tcPr>
            <w:tcW w:w="1346" w:type="dxa"/>
            <w:tcBorders>
              <w:top w:val="single" w:sz="12" w:space="0" w:color="auto"/>
              <w:bottom w:val="single" w:sz="12" w:space="0" w:color="auto"/>
            </w:tcBorders>
          </w:tcPr>
          <w:p w:rsidR="00E02C27" w:rsidRDefault="00E02C27">
            <w:pPr>
              <w:pStyle w:val="tabla"/>
            </w:pPr>
            <w:r>
              <w:t>Calle</w:t>
            </w:r>
          </w:p>
        </w:tc>
        <w:tc>
          <w:tcPr>
            <w:tcW w:w="992" w:type="dxa"/>
            <w:tcBorders>
              <w:top w:val="single" w:sz="12" w:space="0" w:color="auto"/>
              <w:bottom w:val="single" w:sz="12" w:space="0" w:color="auto"/>
            </w:tcBorders>
          </w:tcPr>
          <w:p w:rsidR="00E02C27" w:rsidRDefault="00E02C27">
            <w:pPr>
              <w:pStyle w:val="tabla"/>
            </w:pPr>
            <w:r>
              <w:t>CCCCC</w:t>
            </w:r>
          </w:p>
        </w:tc>
        <w:tc>
          <w:tcPr>
            <w:tcW w:w="3190" w:type="dxa"/>
            <w:tcBorders>
              <w:top w:val="single" w:sz="12" w:space="0" w:color="auto"/>
              <w:bottom w:val="single" w:sz="12" w:space="0" w:color="auto"/>
            </w:tcBorders>
          </w:tcPr>
          <w:p w:rsidR="00E02C27" w:rsidRDefault="00E02C27">
            <w:pPr>
              <w:pStyle w:val="tabla"/>
              <w:rPr>
                <w:b/>
                <w:bCs/>
              </w:rPr>
            </w:pPr>
            <w:r>
              <w:rPr>
                <w:b/>
                <w:bCs/>
              </w:rPr>
              <w:t>Número de Calle</w:t>
            </w:r>
          </w:p>
        </w:tc>
        <w:tc>
          <w:tcPr>
            <w:tcW w:w="992" w:type="dxa"/>
            <w:tcBorders>
              <w:top w:val="single" w:sz="12" w:space="0" w:color="auto"/>
              <w:bottom w:val="single" w:sz="12" w:space="0" w:color="auto"/>
            </w:tcBorders>
          </w:tcPr>
          <w:p w:rsidR="00E02C27" w:rsidRDefault="00E02C27">
            <w:pPr>
              <w:pStyle w:val="tabla"/>
            </w:pPr>
            <w:r>
              <w:t>Num.</w:t>
            </w:r>
          </w:p>
        </w:tc>
        <w:tc>
          <w:tcPr>
            <w:tcW w:w="2190" w:type="dxa"/>
            <w:tcBorders>
              <w:top w:val="single" w:sz="12" w:space="0" w:color="auto"/>
              <w:bottom w:val="single" w:sz="12" w:space="0" w:color="auto"/>
            </w:tcBorders>
          </w:tcPr>
          <w:p w:rsidR="00E02C27" w:rsidRDefault="00E02C27">
            <w:pPr>
              <w:pStyle w:val="tabla"/>
              <w:rPr>
                <w:b/>
                <w:bCs/>
              </w:rPr>
            </w:pPr>
            <w:r>
              <w:rPr>
                <w:b/>
                <w:bCs/>
              </w:rPr>
              <w:t>Obligatorio</w:t>
            </w:r>
          </w:p>
        </w:tc>
      </w:tr>
      <w:tr w:rsidR="00E02C27">
        <w:trPr>
          <w:cantSplit/>
        </w:trPr>
        <w:tc>
          <w:tcPr>
            <w:tcW w:w="1346" w:type="dxa"/>
            <w:vMerge w:val="restart"/>
            <w:tcBorders>
              <w:top w:val="single" w:sz="12" w:space="0" w:color="auto"/>
            </w:tcBorders>
          </w:tcPr>
          <w:p w:rsidR="00E02C27" w:rsidRDefault="00E02C27">
            <w:pPr>
              <w:pStyle w:val="tabla"/>
            </w:pPr>
            <w:r>
              <w:t>Finca</w:t>
            </w:r>
          </w:p>
        </w:tc>
        <w:tc>
          <w:tcPr>
            <w:tcW w:w="992" w:type="dxa"/>
            <w:tcBorders>
              <w:top w:val="single" w:sz="12" w:space="0" w:color="auto"/>
            </w:tcBorders>
          </w:tcPr>
          <w:p w:rsidR="00E02C27" w:rsidRDefault="00E02C27">
            <w:pPr>
              <w:pStyle w:val="tabla"/>
            </w:pPr>
            <w:r>
              <w:t>FFFFF</w:t>
            </w:r>
          </w:p>
        </w:tc>
        <w:tc>
          <w:tcPr>
            <w:tcW w:w="3190" w:type="dxa"/>
            <w:tcBorders>
              <w:top w:val="single" w:sz="12" w:space="0" w:color="auto"/>
            </w:tcBorders>
          </w:tcPr>
          <w:p w:rsidR="00E02C27" w:rsidRDefault="00E02C27">
            <w:pPr>
              <w:pStyle w:val="tabla"/>
              <w:rPr>
                <w:b/>
                <w:bCs/>
              </w:rPr>
            </w:pPr>
            <w:r>
              <w:rPr>
                <w:b/>
                <w:bCs/>
              </w:rPr>
              <w:t>Número de Finca</w:t>
            </w:r>
          </w:p>
        </w:tc>
        <w:tc>
          <w:tcPr>
            <w:tcW w:w="992" w:type="dxa"/>
            <w:tcBorders>
              <w:top w:val="single" w:sz="12" w:space="0" w:color="auto"/>
            </w:tcBorders>
          </w:tcPr>
          <w:p w:rsidR="00E02C27" w:rsidRDefault="00E02C27">
            <w:pPr>
              <w:pStyle w:val="tabla"/>
            </w:pPr>
            <w:r>
              <w:t>Num.</w:t>
            </w:r>
          </w:p>
        </w:tc>
        <w:tc>
          <w:tcPr>
            <w:tcW w:w="2190" w:type="dxa"/>
            <w:tcBorders>
              <w:top w:val="single" w:sz="12" w:space="0" w:color="auto"/>
            </w:tcBorders>
          </w:tcPr>
          <w:p w:rsidR="00E02C27" w:rsidRDefault="00E02C27">
            <w:pPr>
              <w:pStyle w:val="tabla"/>
              <w:rPr>
                <w:b/>
                <w:bCs/>
              </w:rPr>
            </w:pPr>
            <w:r>
              <w:rPr>
                <w:b/>
                <w:bCs/>
              </w:rPr>
              <w:t>Obligatorio</w:t>
            </w:r>
          </w:p>
        </w:tc>
      </w:tr>
      <w:tr w:rsidR="00E02C27">
        <w:trPr>
          <w:cantSplit/>
        </w:trPr>
        <w:tc>
          <w:tcPr>
            <w:tcW w:w="1346" w:type="dxa"/>
            <w:vMerge/>
          </w:tcPr>
          <w:p w:rsidR="00E02C27" w:rsidRDefault="00E02C27">
            <w:pPr>
              <w:pStyle w:val="tabla"/>
            </w:pPr>
          </w:p>
        </w:tc>
        <w:tc>
          <w:tcPr>
            <w:tcW w:w="992" w:type="dxa"/>
          </w:tcPr>
          <w:p w:rsidR="00E02C27" w:rsidRDefault="00E02C27">
            <w:pPr>
              <w:pStyle w:val="tabla"/>
            </w:pPr>
            <w:r>
              <w:t>B</w:t>
            </w:r>
          </w:p>
        </w:tc>
        <w:tc>
          <w:tcPr>
            <w:tcW w:w="3190" w:type="dxa"/>
          </w:tcPr>
          <w:p w:rsidR="00E02C27" w:rsidRDefault="00E02C27">
            <w:pPr>
              <w:pStyle w:val="tabla"/>
            </w:pPr>
            <w:r>
              <w:t>Bis/duplicado</w:t>
            </w:r>
          </w:p>
        </w:tc>
        <w:tc>
          <w:tcPr>
            <w:tcW w:w="992" w:type="dxa"/>
          </w:tcPr>
          <w:p w:rsidR="00E02C27" w:rsidRDefault="00E02C27">
            <w:pPr>
              <w:pStyle w:val="tabla"/>
            </w:pPr>
            <w:r>
              <w:t>Alfanum.</w:t>
            </w:r>
          </w:p>
        </w:tc>
        <w:tc>
          <w:tcPr>
            <w:tcW w:w="2190" w:type="dxa"/>
          </w:tcPr>
          <w:p w:rsidR="00E02C27" w:rsidRDefault="00E02C27">
            <w:pPr>
              <w:pStyle w:val="tabla"/>
            </w:pPr>
            <w:r>
              <w:t xml:space="preserve">Opcional </w:t>
            </w:r>
          </w:p>
        </w:tc>
      </w:tr>
      <w:tr w:rsidR="00E02C27">
        <w:trPr>
          <w:cantSplit/>
        </w:trPr>
        <w:tc>
          <w:tcPr>
            <w:tcW w:w="1346" w:type="dxa"/>
            <w:vMerge/>
          </w:tcPr>
          <w:p w:rsidR="00E02C27" w:rsidRDefault="00E02C27">
            <w:pPr>
              <w:pStyle w:val="tabla"/>
            </w:pPr>
          </w:p>
        </w:tc>
        <w:tc>
          <w:tcPr>
            <w:tcW w:w="992" w:type="dxa"/>
          </w:tcPr>
          <w:p w:rsidR="00E02C27" w:rsidRDefault="00E02C27">
            <w:pPr>
              <w:pStyle w:val="tabla"/>
            </w:pPr>
            <w:r>
              <w:t>TXX</w:t>
            </w:r>
          </w:p>
        </w:tc>
        <w:tc>
          <w:tcPr>
            <w:tcW w:w="3190" w:type="dxa"/>
          </w:tcPr>
          <w:p w:rsidR="00E02C27" w:rsidRDefault="00E02C27">
            <w:pPr>
              <w:pStyle w:val="tabla"/>
            </w:pPr>
            <w:r>
              <w:t>Bloque</w:t>
            </w:r>
          </w:p>
        </w:tc>
        <w:tc>
          <w:tcPr>
            <w:tcW w:w="992" w:type="dxa"/>
          </w:tcPr>
          <w:p w:rsidR="00E02C27" w:rsidRDefault="00E02C27">
            <w:pPr>
              <w:pStyle w:val="tabla"/>
            </w:pPr>
            <w:r>
              <w:t>Alfanum.</w:t>
            </w:r>
          </w:p>
        </w:tc>
        <w:tc>
          <w:tcPr>
            <w:tcW w:w="2190" w:type="dxa"/>
          </w:tcPr>
          <w:p w:rsidR="00E02C27" w:rsidRDefault="00E02C27">
            <w:pPr>
              <w:pStyle w:val="tabla"/>
            </w:pPr>
            <w:r>
              <w:t>Opcional</w:t>
            </w:r>
          </w:p>
        </w:tc>
      </w:tr>
      <w:tr w:rsidR="00E02C27">
        <w:trPr>
          <w:cantSplit/>
        </w:trPr>
        <w:tc>
          <w:tcPr>
            <w:tcW w:w="1346" w:type="dxa"/>
            <w:vMerge/>
          </w:tcPr>
          <w:p w:rsidR="00E02C27" w:rsidRDefault="00E02C27">
            <w:pPr>
              <w:pStyle w:val="tabla"/>
            </w:pPr>
          </w:p>
        </w:tc>
        <w:tc>
          <w:tcPr>
            <w:tcW w:w="992" w:type="dxa"/>
          </w:tcPr>
          <w:p w:rsidR="00E02C27" w:rsidRDefault="00E02C27">
            <w:pPr>
              <w:pStyle w:val="tabla"/>
            </w:pPr>
            <w:r>
              <w:t>OY</w:t>
            </w:r>
          </w:p>
        </w:tc>
        <w:tc>
          <w:tcPr>
            <w:tcW w:w="3190" w:type="dxa"/>
          </w:tcPr>
          <w:p w:rsidR="00E02C27" w:rsidRDefault="00E02C27">
            <w:pPr>
              <w:pStyle w:val="tabla"/>
            </w:pPr>
            <w:r>
              <w:t>Portal/Puerta</w:t>
            </w:r>
          </w:p>
        </w:tc>
        <w:tc>
          <w:tcPr>
            <w:tcW w:w="992" w:type="dxa"/>
          </w:tcPr>
          <w:p w:rsidR="00E02C27" w:rsidRDefault="00E02C27">
            <w:pPr>
              <w:pStyle w:val="tabla"/>
            </w:pPr>
            <w:r>
              <w:t>Alfanum.</w:t>
            </w:r>
          </w:p>
        </w:tc>
        <w:tc>
          <w:tcPr>
            <w:tcW w:w="2190" w:type="dxa"/>
          </w:tcPr>
          <w:p w:rsidR="00E02C27" w:rsidRDefault="00E02C27">
            <w:pPr>
              <w:pStyle w:val="tabla"/>
            </w:pPr>
            <w:r>
              <w:t xml:space="preserve">Opcional </w:t>
            </w:r>
          </w:p>
        </w:tc>
      </w:tr>
      <w:tr w:rsidR="00E02C27">
        <w:trPr>
          <w:cantSplit/>
        </w:trPr>
        <w:tc>
          <w:tcPr>
            <w:tcW w:w="1346" w:type="dxa"/>
            <w:vMerge/>
            <w:tcBorders>
              <w:bottom w:val="single" w:sz="12" w:space="0" w:color="auto"/>
            </w:tcBorders>
          </w:tcPr>
          <w:p w:rsidR="00E02C27" w:rsidRDefault="00E02C27">
            <w:pPr>
              <w:pStyle w:val="tabla"/>
              <w:rPr>
                <w:smallCaps/>
              </w:rPr>
            </w:pPr>
          </w:p>
        </w:tc>
        <w:tc>
          <w:tcPr>
            <w:tcW w:w="992" w:type="dxa"/>
            <w:tcBorders>
              <w:bottom w:val="single" w:sz="12" w:space="0" w:color="auto"/>
            </w:tcBorders>
          </w:tcPr>
          <w:p w:rsidR="00E02C27" w:rsidRDefault="00E02C27">
            <w:pPr>
              <w:pStyle w:val="tabla"/>
              <w:rPr>
                <w:smallCaps/>
              </w:rPr>
            </w:pPr>
            <w:r>
              <w:rPr>
                <w:smallCaps/>
              </w:rPr>
              <w:t>L</w:t>
            </w:r>
          </w:p>
        </w:tc>
        <w:tc>
          <w:tcPr>
            <w:tcW w:w="3190" w:type="dxa"/>
            <w:tcBorders>
              <w:bottom w:val="single" w:sz="12" w:space="0" w:color="auto"/>
            </w:tcBorders>
          </w:tcPr>
          <w:p w:rsidR="00E02C27" w:rsidRDefault="00E02C27">
            <w:pPr>
              <w:pStyle w:val="tabla"/>
            </w:pPr>
            <w:r>
              <w:t>Letra de la finca</w:t>
            </w:r>
          </w:p>
        </w:tc>
        <w:tc>
          <w:tcPr>
            <w:tcW w:w="992" w:type="dxa"/>
            <w:tcBorders>
              <w:bottom w:val="single" w:sz="12" w:space="0" w:color="auto"/>
            </w:tcBorders>
          </w:tcPr>
          <w:p w:rsidR="00E02C27" w:rsidRDefault="00E02C27">
            <w:pPr>
              <w:pStyle w:val="tabla"/>
            </w:pPr>
            <w:r>
              <w:t>Alfanum.</w:t>
            </w:r>
          </w:p>
        </w:tc>
        <w:tc>
          <w:tcPr>
            <w:tcW w:w="2190" w:type="dxa"/>
            <w:tcBorders>
              <w:bottom w:val="single" w:sz="12" w:space="0" w:color="auto"/>
            </w:tcBorders>
          </w:tcPr>
          <w:p w:rsidR="00E02C27" w:rsidRDefault="00E02C27">
            <w:pPr>
              <w:pStyle w:val="tabla"/>
            </w:pPr>
            <w:r>
              <w:t>Opcional</w:t>
            </w:r>
          </w:p>
        </w:tc>
      </w:tr>
      <w:tr w:rsidR="00E02C27">
        <w:trPr>
          <w:cantSplit/>
        </w:trPr>
        <w:tc>
          <w:tcPr>
            <w:tcW w:w="1346" w:type="dxa"/>
            <w:tcBorders>
              <w:top w:val="single" w:sz="12" w:space="0" w:color="auto"/>
              <w:bottom w:val="single" w:sz="12" w:space="0" w:color="auto"/>
            </w:tcBorders>
          </w:tcPr>
          <w:p w:rsidR="00E02C27" w:rsidRDefault="00E02C27">
            <w:pPr>
              <w:pStyle w:val="tabla"/>
            </w:pPr>
            <w:r>
              <w:t>Escalera</w:t>
            </w:r>
          </w:p>
        </w:tc>
        <w:tc>
          <w:tcPr>
            <w:tcW w:w="992" w:type="dxa"/>
            <w:tcBorders>
              <w:top w:val="single" w:sz="12" w:space="0" w:color="auto"/>
              <w:bottom w:val="single" w:sz="12" w:space="0" w:color="auto"/>
            </w:tcBorders>
          </w:tcPr>
          <w:p w:rsidR="00E02C27" w:rsidRDefault="00E02C27">
            <w:pPr>
              <w:pStyle w:val="tabla"/>
              <w:rPr>
                <w:smallCaps/>
              </w:rPr>
            </w:pPr>
            <w:r>
              <w:rPr>
                <w:smallCaps/>
              </w:rPr>
              <w:t>SS</w:t>
            </w:r>
          </w:p>
        </w:tc>
        <w:tc>
          <w:tcPr>
            <w:tcW w:w="3190" w:type="dxa"/>
            <w:tcBorders>
              <w:top w:val="single" w:sz="12" w:space="0" w:color="auto"/>
              <w:bottom w:val="single" w:sz="12" w:space="0" w:color="auto"/>
            </w:tcBorders>
          </w:tcPr>
          <w:p w:rsidR="00E02C27" w:rsidRDefault="00E02C27">
            <w:pPr>
              <w:pStyle w:val="tabla"/>
            </w:pPr>
            <w:r>
              <w:t>Identificador de escalera</w:t>
            </w:r>
          </w:p>
        </w:tc>
        <w:tc>
          <w:tcPr>
            <w:tcW w:w="992" w:type="dxa"/>
            <w:tcBorders>
              <w:top w:val="single" w:sz="12" w:space="0" w:color="auto"/>
              <w:bottom w:val="single" w:sz="12" w:space="0" w:color="auto"/>
            </w:tcBorders>
          </w:tcPr>
          <w:p w:rsidR="00E02C27" w:rsidRDefault="00E02C27">
            <w:pPr>
              <w:pStyle w:val="tabla"/>
            </w:pPr>
            <w:r>
              <w:t>Alfanum.</w:t>
            </w:r>
          </w:p>
        </w:tc>
        <w:tc>
          <w:tcPr>
            <w:tcW w:w="2190" w:type="dxa"/>
            <w:tcBorders>
              <w:top w:val="single" w:sz="12" w:space="0" w:color="auto"/>
              <w:bottom w:val="single" w:sz="12" w:space="0" w:color="auto"/>
            </w:tcBorders>
          </w:tcPr>
          <w:p w:rsidR="00E02C27" w:rsidRDefault="00E02C27">
            <w:pPr>
              <w:pStyle w:val="tabla"/>
            </w:pPr>
            <w:r>
              <w:t xml:space="preserve">Opcional </w:t>
            </w:r>
          </w:p>
        </w:tc>
      </w:tr>
      <w:tr w:rsidR="00E02C27">
        <w:trPr>
          <w:cantSplit/>
        </w:trPr>
        <w:tc>
          <w:tcPr>
            <w:tcW w:w="1346" w:type="dxa"/>
            <w:vMerge w:val="restart"/>
            <w:tcBorders>
              <w:top w:val="single" w:sz="12" w:space="0" w:color="auto"/>
            </w:tcBorders>
          </w:tcPr>
          <w:p w:rsidR="00E02C27" w:rsidRDefault="00E02C27">
            <w:pPr>
              <w:pStyle w:val="tabla"/>
            </w:pPr>
            <w:r>
              <w:t xml:space="preserve">Domicilio </w:t>
            </w:r>
          </w:p>
        </w:tc>
        <w:tc>
          <w:tcPr>
            <w:tcW w:w="992" w:type="dxa"/>
            <w:tcBorders>
              <w:top w:val="single" w:sz="12" w:space="0" w:color="auto"/>
            </w:tcBorders>
          </w:tcPr>
          <w:p w:rsidR="00E02C27" w:rsidRDefault="00E02C27">
            <w:pPr>
              <w:pStyle w:val="tabla"/>
              <w:rPr>
                <w:smallCaps/>
              </w:rPr>
            </w:pPr>
            <w:r>
              <w:rPr>
                <w:smallCaps/>
              </w:rPr>
              <w:t>AAA</w:t>
            </w:r>
          </w:p>
        </w:tc>
        <w:tc>
          <w:tcPr>
            <w:tcW w:w="3190" w:type="dxa"/>
            <w:tcBorders>
              <w:top w:val="single" w:sz="12" w:space="0" w:color="auto"/>
            </w:tcBorders>
          </w:tcPr>
          <w:p w:rsidR="00E02C27" w:rsidRDefault="00E02C27">
            <w:pPr>
              <w:pStyle w:val="tabla"/>
              <w:rPr>
                <w:b/>
                <w:bCs/>
              </w:rPr>
            </w:pPr>
            <w:r>
              <w:rPr>
                <w:b/>
                <w:bCs/>
              </w:rPr>
              <w:t>Planta</w:t>
            </w:r>
          </w:p>
        </w:tc>
        <w:tc>
          <w:tcPr>
            <w:tcW w:w="992" w:type="dxa"/>
            <w:tcBorders>
              <w:top w:val="single" w:sz="12" w:space="0" w:color="auto"/>
            </w:tcBorders>
          </w:tcPr>
          <w:p w:rsidR="00E02C27" w:rsidRDefault="00E02C27">
            <w:pPr>
              <w:pStyle w:val="tabla"/>
            </w:pPr>
            <w:r>
              <w:t>Alfanum.</w:t>
            </w:r>
          </w:p>
        </w:tc>
        <w:tc>
          <w:tcPr>
            <w:tcW w:w="2190" w:type="dxa"/>
            <w:tcBorders>
              <w:top w:val="single" w:sz="12" w:space="0" w:color="auto"/>
            </w:tcBorders>
          </w:tcPr>
          <w:p w:rsidR="00E02C27" w:rsidRDefault="00E02C27">
            <w:pPr>
              <w:pStyle w:val="tabla"/>
              <w:rPr>
                <w:b/>
                <w:bCs/>
              </w:rPr>
            </w:pPr>
            <w:r>
              <w:rPr>
                <w:b/>
                <w:bCs/>
              </w:rPr>
              <w:t xml:space="preserve">Obligatorio </w:t>
            </w:r>
          </w:p>
        </w:tc>
      </w:tr>
      <w:tr w:rsidR="00E02C27">
        <w:trPr>
          <w:cantSplit/>
        </w:trPr>
        <w:tc>
          <w:tcPr>
            <w:tcW w:w="1346" w:type="dxa"/>
            <w:vMerge/>
          </w:tcPr>
          <w:p w:rsidR="00E02C27" w:rsidRDefault="00E02C27">
            <w:pPr>
              <w:pStyle w:val="tabla"/>
              <w:rPr>
                <w:smallCaps/>
              </w:rPr>
            </w:pPr>
          </w:p>
        </w:tc>
        <w:tc>
          <w:tcPr>
            <w:tcW w:w="992" w:type="dxa"/>
          </w:tcPr>
          <w:p w:rsidR="00E02C27" w:rsidRDefault="00E02C27">
            <w:pPr>
              <w:pStyle w:val="tabla"/>
              <w:rPr>
                <w:smallCaps/>
              </w:rPr>
            </w:pPr>
            <w:r>
              <w:rPr>
                <w:smallCaps/>
              </w:rPr>
              <w:t>MMMM</w:t>
            </w:r>
          </w:p>
        </w:tc>
        <w:tc>
          <w:tcPr>
            <w:tcW w:w="3190" w:type="dxa"/>
          </w:tcPr>
          <w:p w:rsidR="00E02C27" w:rsidRDefault="00E02C27">
            <w:pPr>
              <w:pStyle w:val="tabla"/>
            </w:pPr>
            <w:r>
              <w:t>Mano 1 del domicilio</w:t>
            </w:r>
          </w:p>
        </w:tc>
        <w:tc>
          <w:tcPr>
            <w:tcW w:w="992" w:type="dxa"/>
          </w:tcPr>
          <w:p w:rsidR="00E02C27" w:rsidRDefault="00E02C27">
            <w:pPr>
              <w:pStyle w:val="tabla"/>
            </w:pPr>
            <w:r>
              <w:t>Alfanum.</w:t>
            </w:r>
          </w:p>
        </w:tc>
        <w:tc>
          <w:tcPr>
            <w:tcW w:w="2190" w:type="dxa"/>
          </w:tcPr>
          <w:p w:rsidR="00E02C27" w:rsidRDefault="00E02C27">
            <w:pPr>
              <w:pStyle w:val="tabla"/>
            </w:pPr>
            <w:r>
              <w:t xml:space="preserve">Opcional </w:t>
            </w:r>
          </w:p>
        </w:tc>
      </w:tr>
      <w:tr w:rsidR="00E02C27">
        <w:trPr>
          <w:cantSplit/>
        </w:trPr>
        <w:tc>
          <w:tcPr>
            <w:tcW w:w="1346" w:type="dxa"/>
            <w:vMerge/>
          </w:tcPr>
          <w:p w:rsidR="00E02C27" w:rsidRDefault="00E02C27">
            <w:pPr>
              <w:pStyle w:val="tabla"/>
              <w:rPr>
                <w:smallCaps/>
              </w:rPr>
            </w:pPr>
          </w:p>
        </w:tc>
        <w:tc>
          <w:tcPr>
            <w:tcW w:w="992" w:type="dxa"/>
          </w:tcPr>
          <w:p w:rsidR="00E02C27" w:rsidRDefault="00E02C27">
            <w:pPr>
              <w:pStyle w:val="tabla"/>
              <w:rPr>
                <w:smallCaps/>
              </w:rPr>
            </w:pPr>
            <w:r>
              <w:rPr>
                <w:smallCaps/>
              </w:rPr>
              <w:t>NNNN</w:t>
            </w:r>
          </w:p>
        </w:tc>
        <w:tc>
          <w:tcPr>
            <w:tcW w:w="3190" w:type="dxa"/>
          </w:tcPr>
          <w:p w:rsidR="00E02C27" w:rsidRDefault="00E02C27">
            <w:pPr>
              <w:pStyle w:val="tabla"/>
            </w:pPr>
            <w:r>
              <w:t>Mano 2 del domicilio</w:t>
            </w:r>
          </w:p>
        </w:tc>
        <w:tc>
          <w:tcPr>
            <w:tcW w:w="992" w:type="dxa"/>
          </w:tcPr>
          <w:p w:rsidR="00E02C27" w:rsidRDefault="00E02C27">
            <w:pPr>
              <w:pStyle w:val="tabla"/>
            </w:pPr>
            <w:r>
              <w:t>Alfanum</w:t>
            </w:r>
          </w:p>
        </w:tc>
        <w:tc>
          <w:tcPr>
            <w:tcW w:w="2190" w:type="dxa"/>
          </w:tcPr>
          <w:p w:rsidR="00E02C27" w:rsidRDefault="00E02C27">
            <w:pPr>
              <w:pStyle w:val="tabla"/>
            </w:pPr>
            <w:r>
              <w:t xml:space="preserve">Opcional </w:t>
            </w:r>
          </w:p>
        </w:tc>
      </w:tr>
    </w:tbl>
    <w:p w:rsidR="00E02C27" w:rsidRDefault="00E02C27">
      <w:pPr>
        <w:pStyle w:val="Textoindependiente"/>
      </w:pPr>
    </w:p>
    <w:p w:rsidR="00E02C27" w:rsidRDefault="00E02C27">
      <w:pPr>
        <w:spacing w:after="120"/>
        <w:ind w:left="0"/>
        <w:jc w:val="center"/>
        <w:rPr>
          <w:rFonts w:ascii="Arial" w:hAnsi="Arial" w:cs="Arial"/>
          <w:i/>
          <w:iCs/>
          <w:lang w:val="es-ES_tradnl"/>
        </w:rPr>
      </w:pPr>
      <w:r>
        <w:rPr>
          <w:rFonts w:ascii="Arial" w:hAnsi="Arial" w:cs="Arial"/>
          <w:i/>
          <w:iCs/>
          <w:lang w:val="es-ES_tradnl"/>
        </w:rPr>
        <w:t xml:space="preserve">Tabla 1: formato del código GESCAL </w:t>
      </w:r>
    </w:p>
    <w:p w:rsidR="00E02C27" w:rsidRDefault="00E02C27">
      <w:pPr>
        <w:pStyle w:val="Textoindependiente"/>
      </w:pPr>
    </w:p>
    <w:p w:rsidR="00E02C27" w:rsidRDefault="00E02C27">
      <w:pPr>
        <w:spacing w:after="120"/>
        <w:ind w:left="0"/>
        <w:rPr>
          <w:rFonts w:ascii="Arial" w:hAnsi="Arial" w:cs="Arial"/>
          <w:sz w:val="24"/>
          <w:lang w:val="es-ES_tradnl"/>
        </w:rPr>
      </w:pPr>
      <w:r>
        <w:rPr>
          <w:rFonts w:ascii="Arial" w:hAnsi="Arial" w:cs="Arial"/>
          <w:sz w:val="24"/>
          <w:lang w:val="es-ES_tradnl"/>
        </w:rPr>
        <w:t>En los apartados siguientes se denomina GESCAL37 ó GESCAL de DOMICILIO al código GESCAL completo de un domicilio, formado por 37 caracteres, de los cuales algunos pueden estar en blanco, según lo definido en la tabla 1.</w:t>
      </w:r>
    </w:p>
    <w:p w:rsidR="00E02C27" w:rsidRDefault="00E02C27">
      <w:pPr>
        <w:spacing w:after="120"/>
        <w:ind w:left="0"/>
        <w:rPr>
          <w:rFonts w:ascii="Arial" w:hAnsi="Arial" w:cs="Arial"/>
          <w:sz w:val="24"/>
          <w:lang w:val="es-ES_tradnl"/>
        </w:rPr>
      </w:pPr>
      <w:r>
        <w:rPr>
          <w:rFonts w:ascii="Arial" w:hAnsi="Arial" w:cs="Arial"/>
          <w:sz w:val="24"/>
          <w:lang w:val="es-ES_tradnl"/>
        </w:rPr>
        <w:t>Se denomina GESCAL24 ó GESCAL de FINCA al código GESCAL de una finca que, como se ve en la tabla 1 está formado por 24 caracteres (</w:t>
      </w:r>
      <w:r>
        <w:rPr>
          <w:rFonts w:ascii="Arial" w:hAnsi="Arial" w:cs="Arial"/>
          <w:b/>
          <w:bCs/>
          <w:sz w:val="24"/>
          <w:szCs w:val="24"/>
          <w:lang w:val="es-ES_tradnl"/>
        </w:rPr>
        <w:t>PPEEEEECCCCCFFFFF</w:t>
      </w:r>
      <w:r>
        <w:rPr>
          <w:rFonts w:ascii="Arial" w:hAnsi="Arial" w:cs="Arial"/>
          <w:sz w:val="24"/>
          <w:szCs w:val="24"/>
          <w:lang w:val="es-ES_tradnl"/>
        </w:rPr>
        <w:t>BTXXOYL</w:t>
      </w:r>
      <w:r>
        <w:rPr>
          <w:rFonts w:ascii="Arial" w:hAnsi="Arial" w:cs="Arial"/>
          <w:sz w:val="28"/>
          <w:lang w:val="es-ES_tradnl"/>
        </w:rPr>
        <w:t>)</w:t>
      </w:r>
      <w:r>
        <w:rPr>
          <w:rFonts w:ascii="Arial" w:hAnsi="Arial" w:cs="Arial"/>
          <w:sz w:val="24"/>
          <w:lang w:val="es-ES_tradnl"/>
        </w:rPr>
        <w:t>, de los cuales los 17 primeros son obligatorios y los 7 últimos pueden ser blancos por ser opcionales. El GESCAL24 ó GESCAL de FINCA está formado por los subcampos de: Provincia, Población, Calle y Finca.</w:t>
      </w:r>
    </w:p>
    <w:p w:rsidR="00E02C27" w:rsidRDefault="00E02C27">
      <w:pPr>
        <w:rPr>
          <w:rFonts w:ascii="Arial" w:hAnsi="Arial" w:cs="Arial"/>
        </w:rPr>
      </w:pPr>
    </w:p>
    <w:p w:rsidR="00E02C27" w:rsidRDefault="00E02C27">
      <w:pPr>
        <w:pStyle w:val="Ttulo2"/>
        <w:tabs>
          <w:tab w:val="clear" w:pos="84"/>
          <w:tab w:val="num" w:pos="576"/>
        </w:tabs>
        <w:ind w:left="576"/>
        <w:rPr>
          <w:rFonts w:ascii="Arial" w:hAnsi="Arial" w:cs="Arial"/>
          <w:snapToGrid/>
        </w:rPr>
      </w:pPr>
      <w:bookmarkStart w:id="123" w:name="_Toc255490153"/>
      <w:bookmarkStart w:id="124" w:name="_Toc444784499"/>
      <w:r>
        <w:rPr>
          <w:rFonts w:ascii="Arial" w:hAnsi="Arial" w:cs="Arial"/>
          <w:snapToGrid/>
        </w:rPr>
        <w:t>Identificación del domicilio mediante código GESCAL en las solicitudes de altas sobre vacante</w:t>
      </w:r>
      <w:bookmarkEnd w:id="123"/>
      <w:bookmarkEnd w:id="124"/>
    </w:p>
    <w:p w:rsidR="00E02C27" w:rsidRDefault="00E02C27">
      <w:pPr>
        <w:rPr>
          <w:rFonts w:ascii="Arial" w:hAnsi="Arial" w:cs="Arial"/>
        </w:rPr>
      </w:pPr>
    </w:p>
    <w:p w:rsidR="00E02C27" w:rsidRDefault="00E02C27">
      <w:pPr>
        <w:spacing w:after="120"/>
        <w:ind w:left="0"/>
        <w:rPr>
          <w:rFonts w:ascii="Arial" w:hAnsi="Arial" w:cs="Arial"/>
          <w:sz w:val="24"/>
          <w:lang w:val="es-ES_tradnl"/>
        </w:rPr>
      </w:pPr>
      <w:r>
        <w:rPr>
          <w:rFonts w:ascii="Arial" w:hAnsi="Arial" w:cs="Arial"/>
          <w:sz w:val="24"/>
          <w:lang w:val="es-ES_tradnl"/>
        </w:rPr>
        <w:t>Con el objetivo de mejorar el proceso de provisión, automatizándolo al máximo posible, se aplicará el siguiente procedimiento cuando sólo sea posible referenciar una solicitud en base al domicilio, es decir, en altas sobre vacante.</w:t>
      </w:r>
    </w:p>
    <w:p w:rsidR="00E02C27" w:rsidRDefault="00E02C27">
      <w:pPr>
        <w:spacing w:after="120"/>
        <w:ind w:left="0"/>
        <w:rPr>
          <w:rFonts w:ascii="Arial" w:hAnsi="Arial" w:cs="Arial"/>
          <w:sz w:val="24"/>
          <w:lang w:val="es-ES_tradnl"/>
        </w:rPr>
      </w:pPr>
      <w:r>
        <w:rPr>
          <w:rFonts w:ascii="Arial" w:hAnsi="Arial" w:cs="Arial"/>
          <w:sz w:val="24"/>
          <w:lang w:val="es-ES_tradnl"/>
        </w:rPr>
        <w:t xml:space="preserve">Antes de realizar la solicitud de alta sobre vacante, el operador deberá recuperar el código GESCAL del domicilio de instalación por medio de los WS de consulta a GESCAL. </w:t>
      </w:r>
    </w:p>
    <w:p w:rsidR="00E02C27" w:rsidRDefault="00E02C27">
      <w:pPr>
        <w:spacing w:after="120"/>
        <w:ind w:left="0"/>
        <w:rPr>
          <w:rFonts w:ascii="Arial" w:hAnsi="Arial" w:cs="Arial"/>
          <w:sz w:val="24"/>
          <w:lang w:val="es-ES_tradnl"/>
        </w:rPr>
      </w:pPr>
      <w:r>
        <w:rPr>
          <w:rFonts w:ascii="Arial" w:hAnsi="Arial" w:cs="Arial"/>
          <w:sz w:val="24"/>
          <w:lang w:val="es-ES_tradnl"/>
        </w:rPr>
        <w:t xml:space="preserve">El proceso de asignación de recursos de red de </w:t>
      </w:r>
      <w:r w:rsidR="009D686F">
        <w:rPr>
          <w:rFonts w:ascii="Arial" w:hAnsi="Arial" w:cs="Arial"/>
          <w:sz w:val="24"/>
          <w:lang w:val="es-ES_tradnl"/>
        </w:rPr>
        <w:t>Telefónica</w:t>
      </w:r>
      <w:r>
        <w:rPr>
          <w:rFonts w:ascii="Arial" w:hAnsi="Arial" w:cs="Arial"/>
          <w:sz w:val="24"/>
          <w:lang w:val="es-ES_tradnl"/>
        </w:rPr>
        <w:t xml:space="preserve"> es un proceso que requiere necesariamente que se identifique con precisión la finca en la que está situado el domicilio y que dicha identificación se realice por medio de un código de finca que posibilite la automatización del proceso (GESCAL24), siendo menos relevantes para dicho proceso el resto de datos del domicilio que van más allá de la finca (escalera, planta y puerta). </w:t>
      </w:r>
    </w:p>
    <w:p w:rsidR="00E02C27" w:rsidRDefault="00E02C27">
      <w:pPr>
        <w:spacing w:after="120"/>
        <w:ind w:left="0"/>
        <w:rPr>
          <w:rFonts w:ascii="Arial" w:hAnsi="Arial" w:cs="Arial"/>
          <w:sz w:val="24"/>
          <w:lang w:val="es-ES_tradnl"/>
        </w:rPr>
      </w:pPr>
      <w:r>
        <w:rPr>
          <w:rFonts w:ascii="Arial" w:hAnsi="Arial" w:cs="Arial"/>
          <w:sz w:val="24"/>
          <w:lang w:val="es-ES_tradnl"/>
        </w:rPr>
        <w:t>El proceso de Instalación necesita los datos del domicilio que van más allá de la finca (escalera, planta y puerta) pero, por tratarse de un proceso necesariamente manual, admite que los datos no estén codificados previamente.</w:t>
      </w:r>
    </w:p>
    <w:p w:rsidR="00E02C27" w:rsidRDefault="00E02C27">
      <w:pPr>
        <w:spacing w:after="120"/>
        <w:ind w:left="0"/>
        <w:rPr>
          <w:rFonts w:ascii="Arial" w:hAnsi="Arial" w:cs="Arial"/>
          <w:bCs/>
          <w:sz w:val="24"/>
          <w:lang w:val="es-ES_tradnl"/>
        </w:rPr>
      </w:pPr>
      <w:r>
        <w:rPr>
          <w:rFonts w:ascii="Arial" w:hAnsi="Arial" w:cs="Arial"/>
          <w:sz w:val="24"/>
          <w:lang w:val="es-ES_tradnl"/>
        </w:rPr>
        <w:t>Así pues, teniendo en cuenta las necesidades de los procesos se Asignación e Instalación, en</w:t>
      </w:r>
      <w:r>
        <w:rPr>
          <w:rFonts w:ascii="Arial" w:hAnsi="Arial" w:cs="Arial"/>
          <w:bCs/>
          <w:sz w:val="24"/>
          <w:lang w:val="es-ES_tradnl"/>
        </w:rPr>
        <w:t xml:space="preserve"> las solicitudes de alta sobre vacante en NEON el operador informará, al menos, el código GESCAL24 (código de finca completo). </w:t>
      </w:r>
    </w:p>
    <w:p w:rsidR="00E02C27" w:rsidRDefault="00E02C27">
      <w:pPr>
        <w:pStyle w:val="PORTADALOGO"/>
        <w:spacing w:after="120"/>
        <w:rPr>
          <w:rFonts w:ascii="Arial" w:hAnsi="Arial" w:cs="Arial"/>
        </w:rPr>
      </w:pPr>
      <w:r>
        <w:rPr>
          <w:rFonts w:ascii="Arial" w:hAnsi="Arial" w:cs="Arial"/>
        </w:rPr>
        <w:t>No obstante lo anterior, el caso ideal es que se  consiga recuperar el GESCAL37, que identifica de forma unívoca el domicilio deseado y permite la optimización total del proceso, de modo que si el operador puede recuperar el código GESCAL37 (existe para aquellos domicilios que tienen o han tenido algún servicio), podrá informarlo en la solicitud de alta sobre vacante, no siendo necesario en ese caso informar ningún otro campo adicional.</w:t>
      </w:r>
    </w:p>
    <w:p w:rsidR="00E02C27" w:rsidRDefault="00E02C27">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703"/>
        <w:gridCol w:w="703"/>
        <w:gridCol w:w="703"/>
        <w:gridCol w:w="704"/>
        <w:gridCol w:w="703"/>
        <w:gridCol w:w="703"/>
        <w:gridCol w:w="703"/>
      </w:tblGrid>
      <w:tr w:rsidR="00E02C27">
        <w:trPr>
          <w:cantSplit/>
          <w:jc w:val="center"/>
        </w:trPr>
        <w:tc>
          <w:tcPr>
            <w:tcW w:w="703" w:type="dxa"/>
            <w:tcBorders>
              <w:top w:val="nil"/>
              <w:left w:val="nil"/>
              <w:right w:val="nil"/>
            </w:tcBorders>
          </w:tcPr>
          <w:p w:rsidR="00E02C27" w:rsidRDefault="00E02C27">
            <w:pPr>
              <w:pStyle w:val="tabla"/>
              <w:jc w:val="both"/>
              <w:rPr>
                <w:rFonts w:cs="Arial"/>
              </w:rPr>
            </w:pPr>
          </w:p>
        </w:tc>
        <w:tc>
          <w:tcPr>
            <w:tcW w:w="703" w:type="dxa"/>
            <w:tcBorders>
              <w:top w:val="nil"/>
              <w:left w:val="nil"/>
              <w:right w:val="nil"/>
            </w:tcBorders>
          </w:tcPr>
          <w:p w:rsidR="00E02C27" w:rsidRDefault="00E02C27">
            <w:pPr>
              <w:pStyle w:val="tabla"/>
              <w:jc w:val="both"/>
              <w:rPr>
                <w:rFonts w:cs="Arial"/>
              </w:rPr>
            </w:pPr>
          </w:p>
        </w:tc>
        <w:tc>
          <w:tcPr>
            <w:tcW w:w="703" w:type="dxa"/>
            <w:tcBorders>
              <w:top w:val="nil"/>
              <w:left w:val="nil"/>
              <w:right w:val="single" w:sz="12" w:space="0" w:color="auto"/>
            </w:tcBorders>
          </w:tcPr>
          <w:p w:rsidR="00E02C27" w:rsidRDefault="00E02C27">
            <w:pPr>
              <w:pStyle w:val="tabla"/>
              <w:jc w:val="both"/>
              <w:rPr>
                <w:rFonts w:cs="Arial"/>
              </w:rPr>
            </w:pPr>
          </w:p>
        </w:tc>
        <w:tc>
          <w:tcPr>
            <w:tcW w:w="3516" w:type="dxa"/>
            <w:gridSpan w:val="5"/>
            <w:tcBorders>
              <w:left w:val="nil"/>
              <w:right w:val="single" w:sz="12" w:space="0" w:color="auto"/>
            </w:tcBorders>
          </w:tcPr>
          <w:p w:rsidR="00E02C27" w:rsidRDefault="00E02C27">
            <w:pPr>
              <w:pStyle w:val="tabla"/>
              <w:jc w:val="both"/>
              <w:rPr>
                <w:rFonts w:cs="Arial"/>
                <w:b/>
              </w:rPr>
            </w:pPr>
            <w:r>
              <w:rPr>
                <w:rFonts w:cs="Arial"/>
                <w:b/>
              </w:rPr>
              <w:t>Finca</w:t>
            </w:r>
          </w:p>
        </w:tc>
      </w:tr>
      <w:tr w:rsidR="00E02C27">
        <w:trPr>
          <w:jc w:val="center"/>
        </w:trPr>
        <w:tc>
          <w:tcPr>
            <w:tcW w:w="703" w:type="dxa"/>
            <w:tcBorders>
              <w:bottom w:val="single" w:sz="12" w:space="0" w:color="auto"/>
              <w:right w:val="single" w:sz="12" w:space="0" w:color="auto"/>
            </w:tcBorders>
          </w:tcPr>
          <w:p w:rsidR="00E02C27" w:rsidRDefault="00E02C27">
            <w:pPr>
              <w:pStyle w:val="tabla"/>
              <w:jc w:val="both"/>
              <w:rPr>
                <w:rFonts w:cs="Arial"/>
                <w:b/>
              </w:rPr>
            </w:pPr>
            <w:r>
              <w:rPr>
                <w:rFonts w:cs="Arial"/>
                <w:b/>
              </w:rPr>
              <w:t>Prov</w:t>
            </w:r>
          </w:p>
        </w:tc>
        <w:tc>
          <w:tcPr>
            <w:tcW w:w="703" w:type="dxa"/>
            <w:tcBorders>
              <w:left w:val="nil"/>
              <w:bottom w:val="single" w:sz="12" w:space="0" w:color="auto"/>
              <w:right w:val="single" w:sz="12" w:space="0" w:color="auto"/>
            </w:tcBorders>
          </w:tcPr>
          <w:p w:rsidR="00E02C27" w:rsidRDefault="00E02C27">
            <w:pPr>
              <w:pStyle w:val="tabla"/>
              <w:jc w:val="both"/>
              <w:rPr>
                <w:rFonts w:cs="Arial"/>
                <w:b/>
              </w:rPr>
            </w:pPr>
            <w:r>
              <w:rPr>
                <w:rFonts w:cs="Arial"/>
                <w:b/>
              </w:rPr>
              <w:t>Pobl.</w:t>
            </w:r>
          </w:p>
        </w:tc>
        <w:tc>
          <w:tcPr>
            <w:tcW w:w="703" w:type="dxa"/>
            <w:tcBorders>
              <w:left w:val="nil"/>
              <w:bottom w:val="single" w:sz="12" w:space="0" w:color="auto"/>
              <w:right w:val="single" w:sz="12" w:space="0" w:color="auto"/>
            </w:tcBorders>
          </w:tcPr>
          <w:p w:rsidR="00E02C27" w:rsidRDefault="00E02C27">
            <w:pPr>
              <w:pStyle w:val="tabla"/>
              <w:jc w:val="both"/>
              <w:rPr>
                <w:rFonts w:cs="Arial"/>
                <w:b/>
              </w:rPr>
            </w:pPr>
            <w:r>
              <w:rPr>
                <w:rFonts w:cs="Arial"/>
                <w:b/>
              </w:rPr>
              <w:t>Calle</w:t>
            </w:r>
          </w:p>
        </w:tc>
        <w:tc>
          <w:tcPr>
            <w:tcW w:w="703" w:type="dxa"/>
            <w:tcBorders>
              <w:left w:val="nil"/>
              <w:bottom w:val="single" w:sz="12" w:space="0" w:color="auto"/>
            </w:tcBorders>
          </w:tcPr>
          <w:p w:rsidR="00E02C27" w:rsidRDefault="00E02C27">
            <w:pPr>
              <w:pStyle w:val="tabla"/>
              <w:jc w:val="both"/>
              <w:rPr>
                <w:rFonts w:cs="Arial"/>
                <w:b/>
              </w:rPr>
            </w:pPr>
            <w:r>
              <w:rPr>
                <w:rFonts w:cs="Arial"/>
                <w:b/>
              </w:rPr>
              <w:t>Num</w:t>
            </w:r>
          </w:p>
        </w:tc>
        <w:tc>
          <w:tcPr>
            <w:tcW w:w="704" w:type="dxa"/>
            <w:tcBorders>
              <w:bottom w:val="single" w:sz="12" w:space="0" w:color="auto"/>
            </w:tcBorders>
          </w:tcPr>
          <w:p w:rsidR="00E02C27" w:rsidRDefault="00E02C27">
            <w:pPr>
              <w:pStyle w:val="tabla"/>
              <w:jc w:val="both"/>
              <w:rPr>
                <w:rFonts w:cs="Arial"/>
                <w:b/>
                <w:lang w:val="es-ES"/>
              </w:rPr>
            </w:pPr>
            <w:r>
              <w:rPr>
                <w:rFonts w:cs="Arial"/>
                <w:b/>
                <w:lang w:val="es-ES"/>
              </w:rPr>
              <w:t>Bis</w:t>
            </w:r>
          </w:p>
        </w:tc>
        <w:tc>
          <w:tcPr>
            <w:tcW w:w="703" w:type="dxa"/>
            <w:tcBorders>
              <w:bottom w:val="single" w:sz="12" w:space="0" w:color="auto"/>
            </w:tcBorders>
          </w:tcPr>
          <w:p w:rsidR="00E02C27" w:rsidRDefault="00E02C27">
            <w:pPr>
              <w:pStyle w:val="tabla"/>
              <w:jc w:val="both"/>
              <w:rPr>
                <w:rFonts w:cs="Arial"/>
                <w:b/>
                <w:lang w:val="fr-FR"/>
              </w:rPr>
            </w:pPr>
            <w:r>
              <w:rPr>
                <w:rFonts w:cs="Arial"/>
                <w:b/>
                <w:lang w:val="fr-FR"/>
              </w:rPr>
              <w:t>Bloq</w:t>
            </w:r>
          </w:p>
        </w:tc>
        <w:tc>
          <w:tcPr>
            <w:tcW w:w="703" w:type="dxa"/>
            <w:tcBorders>
              <w:bottom w:val="single" w:sz="12" w:space="0" w:color="auto"/>
            </w:tcBorders>
          </w:tcPr>
          <w:p w:rsidR="00E02C27" w:rsidRDefault="00E02C27">
            <w:pPr>
              <w:pStyle w:val="tabla"/>
              <w:jc w:val="both"/>
              <w:rPr>
                <w:rFonts w:cs="Arial"/>
                <w:b/>
                <w:lang w:val="fr-FR"/>
              </w:rPr>
            </w:pPr>
            <w:r>
              <w:rPr>
                <w:rFonts w:cs="Arial"/>
                <w:b/>
                <w:lang w:val="fr-FR"/>
              </w:rPr>
              <w:t>Port</w:t>
            </w:r>
          </w:p>
        </w:tc>
        <w:tc>
          <w:tcPr>
            <w:tcW w:w="703" w:type="dxa"/>
            <w:tcBorders>
              <w:bottom w:val="single" w:sz="12" w:space="0" w:color="auto"/>
              <w:right w:val="single" w:sz="12" w:space="0" w:color="auto"/>
            </w:tcBorders>
          </w:tcPr>
          <w:p w:rsidR="00E02C27" w:rsidRDefault="00E02C27">
            <w:pPr>
              <w:pStyle w:val="tabla"/>
              <w:jc w:val="both"/>
              <w:rPr>
                <w:rFonts w:cs="Arial"/>
                <w:b/>
                <w:lang w:val="fr-FR"/>
              </w:rPr>
            </w:pPr>
            <w:r>
              <w:rPr>
                <w:rFonts w:cs="Arial"/>
                <w:b/>
                <w:lang w:val="fr-FR"/>
              </w:rPr>
              <w:t>Letr</w:t>
            </w:r>
          </w:p>
        </w:tc>
      </w:tr>
      <w:tr w:rsidR="00E02C27">
        <w:trPr>
          <w:jc w:val="center"/>
        </w:trPr>
        <w:tc>
          <w:tcPr>
            <w:tcW w:w="703" w:type="dxa"/>
            <w:tcBorders>
              <w:top w:val="single" w:sz="12" w:space="0" w:color="auto"/>
              <w:right w:val="single" w:sz="12" w:space="0" w:color="auto"/>
            </w:tcBorders>
          </w:tcPr>
          <w:p w:rsidR="00E02C27" w:rsidRDefault="00E02C27">
            <w:pPr>
              <w:pStyle w:val="tabla"/>
              <w:jc w:val="both"/>
              <w:rPr>
                <w:rFonts w:cs="Arial"/>
                <w:b/>
                <w:lang w:val="es-ES"/>
              </w:rPr>
            </w:pPr>
            <w:r>
              <w:rPr>
                <w:rFonts w:cs="Arial"/>
                <w:b/>
                <w:lang w:val="es-ES"/>
              </w:rPr>
              <w:t>28</w:t>
            </w:r>
          </w:p>
        </w:tc>
        <w:tc>
          <w:tcPr>
            <w:tcW w:w="703" w:type="dxa"/>
            <w:tcBorders>
              <w:top w:val="single" w:sz="12" w:space="0" w:color="auto"/>
              <w:left w:val="nil"/>
              <w:right w:val="single" w:sz="12" w:space="0" w:color="auto"/>
            </w:tcBorders>
          </w:tcPr>
          <w:p w:rsidR="00E02C27" w:rsidRDefault="00E02C27">
            <w:pPr>
              <w:pStyle w:val="tabla"/>
              <w:jc w:val="both"/>
              <w:rPr>
                <w:rFonts w:cs="Arial"/>
                <w:b/>
                <w:lang w:val="es-ES"/>
              </w:rPr>
            </w:pPr>
            <w:r>
              <w:rPr>
                <w:rFonts w:cs="Arial"/>
                <w:b/>
                <w:lang w:val="es-ES"/>
              </w:rPr>
              <w:t>00001</w:t>
            </w:r>
          </w:p>
        </w:tc>
        <w:tc>
          <w:tcPr>
            <w:tcW w:w="703" w:type="dxa"/>
            <w:tcBorders>
              <w:top w:val="single" w:sz="12" w:space="0" w:color="auto"/>
              <w:left w:val="nil"/>
              <w:right w:val="single" w:sz="12" w:space="0" w:color="auto"/>
            </w:tcBorders>
          </w:tcPr>
          <w:p w:rsidR="00E02C27" w:rsidRDefault="00E02C27">
            <w:pPr>
              <w:pStyle w:val="tabla"/>
              <w:jc w:val="both"/>
              <w:rPr>
                <w:rFonts w:cs="Arial"/>
                <w:b/>
                <w:lang w:val="es-ES"/>
              </w:rPr>
            </w:pPr>
            <w:r>
              <w:rPr>
                <w:rFonts w:cs="Arial"/>
                <w:b/>
                <w:lang w:val="es-ES"/>
              </w:rPr>
              <w:t>00001</w:t>
            </w:r>
          </w:p>
        </w:tc>
        <w:tc>
          <w:tcPr>
            <w:tcW w:w="703" w:type="dxa"/>
            <w:tcBorders>
              <w:top w:val="single" w:sz="12" w:space="0" w:color="auto"/>
              <w:left w:val="nil"/>
            </w:tcBorders>
          </w:tcPr>
          <w:p w:rsidR="00E02C27" w:rsidRDefault="00E02C27">
            <w:pPr>
              <w:pStyle w:val="tabla"/>
              <w:jc w:val="both"/>
              <w:rPr>
                <w:rFonts w:cs="Arial"/>
                <w:b/>
                <w:lang w:val="es-ES"/>
              </w:rPr>
            </w:pPr>
            <w:r>
              <w:rPr>
                <w:rFonts w:cs="Arial"/>
                <w:b/>
                <w:lang w:val="es-ES"/>
              </w:rPr>
              <w:t>99999</w:t>
            </w:r>
          </w:p>
        </w:tc>
        <w:tc>
          <w:tcPr>
            <w:tcW w:w="704" w:type="dxa"/>
            <w:tcBorders>
              <w:top w:val="single" w:sz="12" w:space="0" w:color="auto"/>
            </w:tcBorders>
          </w:tcPr>
          <w:p w:rsidR="00E02C27" w:rsidRDefault="00E02C27">
            <w:pPr>
              <w:pStyle w:val="tabla"/>
              <w:jc w:val="both"/>
              <w:rPr>
                <w:rFonts w:cs="Arial"/>
                <w:b/>
                <w:lang w:val="es-ES"/>
              </w:rPr>
            </w:pPr>
            <w:r>
              <w:rPr>
                <w:rFonts w:cs="Arial"/>
                <w:b/>
                <w:lang w:val="es-ES"/>
              </w:rPr>
              <w:t>K</w:t>
            </w:r>
          </w:p>
        </w:tc>
        <w:tc>
          <w:tcPr>
            <w:tcW w:w="703" w:type="dxa"/>
            <w:tcBorders>
              <w:top w:val="single" w:sz="12" w:space="0" w:color="auto"/>
            </w:tcBorders>
          </w:tcPr>
          <w:p w:rsidR="00E02C27" w:rsidRDefault="00E02C27">
            <w:pPr>
              <w:pStyle w:val="tabla"/>
              <w:jc w:val="both"/>
              <w:rPr>
                <w:rFonts w:cs="Arial"/>
                <w:b/>
                <w:lang w:val="es-ES"/>
              </w:rPr>
            </w:pPr>
          </w:p>
        </w:tc>
        <w:tc>
          <w:tcPr>
            <w:tcW w:w="703" w:type="dxa"/>
            <w:tcBorders>
              <w:top w:val="single" w:sz="12" w:space="0" w:color="auto"/>
            </w:tcBorders>
          </w:tcPr>
          <w:p w:rsidR="00E02C27" w:rsidRDefault="00E02C27">
            <w:pPr>
              <w:pStyle w:val="tabla"/>
              <w:jc w:val="both"/>
              <w:rPr>
                <w:rFonts w:cs="Arial"/>
                <w:b/>
                <w:lang w:val="es-ES"/>
              </w:rPr>
            </w:pPr>
          </w:p>
        </w:tc>
        <w:tc>
          <w:tcPr>
            <w:tcW w:w="703" w:type="dxa"/>
            <w:tcBorders>
              <w:top w:val="single" w:sz="12" w:space="0" w:color="auto"/>
              <w:right w:val="single" w:sz="12" w:space="0" w:color="auto"/>
            </w:tcBorders>
          </w:tcPr>
          <w:p w:rsidR="00E02C27" w:rsidRDefault="00E02C27">
            <w:pPr>
              <w:pStyle w:val="tabla"/>
              <w:jc w:val="both"/>
              <w:rPr>
                <w:rFonts w:cs="Arial"/>
                <w:b/>
                <w:lang w:val="es-ES"/>
              </w:rPr>
            </w:pPr>
          </w:p>
        </w:tc>
      </w:tr>
    </w:tbl>
    <w:p w:rsidR="00E02C27" w:rsidRDefault="00E02C27">
      <w:pPr>
        <w:pStyle w:val="Sangra3detindependiente"/>
      </w:pPr>
    </w:p>
    <w:p w:rsidR="00E02C27" w:rsidRDefault="00E02C27">
      <w:pPr>
        <w:spacing w:after="120"/>
        <w:ind w:left="0"/>
        <w:jc w:val="center"/>
        <w:rPr>
          <w:rFonts w:ascii="Arial" w:hAnsi="Arial" w:cs="Arial"/>
          <w:i/>
          <w:iCs/>
          <w:lang w:val="es-ES_tradnl"/>
        </w:rPr>
      </w:pPr>
      <w:r>
        <w:rPr>
          <w:rFonts w:ascii="Arial" w:hAnsi="Arial" w:cs="Arial"/>
          <w:i/>
          <w:iCs/>
          <w:lang w:val="es-ES_tradnl"/>
        </w:rPr>
        <w:t>Tabla 2: formato del código GESCAL24 correspondiente a la finca</w:t>
      </w:r>
    </w:p>
    <w:p w:rsidR="00E02C27" w:rsidRDefault="00E02C27">
      <w:pPr>
        <w:spacing w:after="120"/>
        <w:ind w:left="0"/>
        <w:rPr>
          <w:rFonts w:ascii="Arial" w:hAnsi="Arial" w:cs="Arial"/>
          <w:sz w:val="24"/>
          <w:lang w:val="es-ES_tradnl"/>
        </w:rPr>
      </w:pPr>
      <w:r>
        <w:rPr>
          <w:rFonts w:ascii="Arial" w:hAnsi="Arial" w:cs="Arial"/>
          <w:sz w:val="24"/>
          <w:lang w:val="es-ES_tradnl"/>
        </w:rPr>
        <w:t xml:space="preserve">Esto implica que, para los casos en los que el operador sólo disponga de GESCAL24, en el formulario de solicitud deben existir otros campos para que el operador informe del resto del domicilio (escalera, planta y mano).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03"/>
        <w:gridCol w:w="703"/>
        <w:gridCol w:w="703"/>
        <w:gridCol w:w="704"/>
      </w:tblGrid>
      <w:tr w:rsidR="00E02C27">
        <w:trPr>
          <w:cantSplit/>
          <w:jc w:val="center"/>
        </w:trPr>
        <w:tc>
          <w:tcPr>
            <w:tcW w:w="1407" w:type="dxa"/>
            <w:gridSpan w:val="2"/>
            <w:tcBorders>
              <w:left w:val="nil"/>
              <w:right w:val="single" w:sz="12" w:space="0" w:color="auto"/>
            </w:tcBorders>
          </w:tcPr>
          <w:p w:rsidR="00E02C27" w:rsidRDefault="00E02C27">
            <w:pPr>
              <w:pStyle w:val="tabla"/>
              <w:jc w:val="both"/>
              <w:rPr>
                <w:rFonts w:cs="Arial"/>
                <w:b/>
              </w:rPr>
            </w:pPr>
            <w:r>
              <w:rPr>
                <w:rFonts w:cs="Arial"/>
                <w:b/>
              </w:rPr>
              <w:t>Escalera</w:t>
            </w:r>
          </w:p>
        </w:tc>
        <w:tc>
          <w:tcPr>
            <w:tcW w:w="2110" w:type="dxa"/>
            <w:gridSpan w:val="3"/>
            <w:tcBorders>
              <w:left w:val="nil"/>
            </w:tcBorders>
          </w:tcPr>
          <w:p w:rsidR="00E02C27" w:rsidRDefault="00E02C27">
            <w:pPr>
              <w:pStyle w:val="tabla"/>
              <w:jc w:val="both"/>
              <w:rPr>
                <w:rFonts w:cs="Arial"/>
                <w:b/>
              </w:rPr>
            </w:pPr>
            <w:r>
              <w:rPr>
                <w:rFonts w:cs="Arial"/>
                <w:b/>
              </w:rPr>
              <w:t>Domicilio</w:t>
            </w:r>
          </w:p>
        </w:tc>
      </w:tr>
      <w:tr w:rsidR="00E02C27">
        <w:trPr>
          <w:jc w:val="center"/>
        </w:trPr>
        <w:tc>
          <w:tcPr>
            <w:tcW w:w="704" w:type="dxa"/>
            <w:tcBorders>
              <w:left w:val="nil"/>
              <w:bottom w:val="single" w:sz="12" w:space="0" w:color="auto"/>
            </w:tcBorders>
          </w:tcPr>
          <w:p w:rsidR="00E02C27" w:rsidRDefault="00E02C27">
            <w:pPr>
              <w:pStyle w:val="tabla"/>
              <w:jc w:val="both"/>
              <w:rPr>
                <w:rFonts w:cs="Arial"/>
                <w:b/>
                <w:lang w:val="es-ES"/>
              </w:rPr>
            </w:pPr>
            <w:r>
              <w:rPr>
                <w:rFonts w:cs="Arial"/>
                <w:b/>
                <w:lang w:val="es-ES"/>
              </w:rPr>
              <w:t>M1</w:t>
            </w:r>
          </w:p>
        </w:tc>
        <w:tc>
          <w:tcPr>
            <w:tcW w:w="703" w:type="dxa"/>
            <w:tcBorders>
              <w:bottom w:val="single" w:sz="12" w:space="0" w:color="auto"/>
              <w:right w:val="single" w:sz="12" w:space="0" w:color="auto"/>
            </w:tcBorders>
          </w:tcPr>
          <w:p w:rsidR="00E02C27" w:rsidRDefault="00E02C27">
            <w:pPr>
              <w:pStyle w:val="tabla"/>
              <w:jc w:val="both"/>
              <w:rPr>
                <w:rFonts w:cs="Arial"/>
                <w:b/>
                <w:lang w:val="en-GB"/>
              </w:rPr>
            </w:pPr>
            <w:r>
              <w:rPr>
                <w:rFonts w:cs="Arial"/>
                <w:b/>
                <w:lang w:val="en-GB"/>
              </w:rPr>
              <w:t>M2</w:t>
            </w:r>
          </w:p>
        </w:tc>
        <w:tc>
          <w:tcPr>
            <w:tcW w:w="703" w:type="dxa"/>
            <w:tcBorders>
              <w:left w:val="nil"/>
              <w:bottom w:val="single" w:sz="12" w:space="0" w:color="auto"/>
            </w:tcBorders>
          </w:tcPr>
          <w:p w:rsidR="00E02C27" w:rsidRDefault="00E02C27">
            <w:pPr>
              <w:pStyle w:val="tabla"/>
              <w:jc w:val="both"/>
              <w:rPr>
                <w:rFonts w:cs="Arial"/>
                <w:b/>
                <w:lang w:val="en-GB"/>
              </w:rPr>
            </w:pPr>
            <w:r>
              <w:rPr>
                <w:rFonts w:cs="Arial"/>
                <w:b/>
                <w:lang w:val="en-GB"/>
              </w:rPr>
              <w:t>Plant</w:t>
            </w:r>
          </w:p>
        </w:tc>
        <w:tc>
          <w:tcPr>
            <w:tcW w:w="703" w:type="dxa"/>
            <w:tcBorders>
              <w:bottom w:val="single" w:sz="12" w:space="0" w:color="auto"/>
            </w:tcBorders>
          </w:tcPr>
          <w:p w:rsidR="00E02C27" w:rsidRDefault="00E02C27">
            <w:pPr>
              <w:pStyle w:val="tabla"/>
              <w:jc w:val="both"/>
              <w:rPr>
                <w:rFonts w:cs="Arial"/>
                <w:b/>
                <w:lang w:val="en-GB"/>
              </w:rPr>
            </w:pPr>
            <w:r>
              <w:rPr>
                <w:rFonts w:cs="Arial"/>
                <w:b/>
                <w:lang w:val="en-GB"/>
              </w:rPr>
              <w:t>Man1</w:t>
            </w:r>
          </w:p>
        </w:tc>
        <w:tc>
          <w:tcPr>
            <w:tcW w:w="704" w:type="dxa"/>
            <w:tcBorders>
              <w:bottom w:val="single" w:sz="12" w:space="0" w:color="auto"/>
            </w:tcBorders>
          </w:tcPr>
          <w:p w:rsidR="00E02C27" w:rsidRDefault="00E02C27">
            <w:pPr>
              <w:pStyle w:val="tabla"/>
              <w:jc w:val="both"/>
              <w:rPr>
                <w:rFonts w:cs="Arial"/>
                <w:b/>
                <w:lang w:val="en-GB"/>
              </w:rPr>
            </w:pPr>
            <w:r>
              <w:rPr>
                <w:rFonts w:cs="Arial"/>
                <w:b/>
                <w:lang w:val="en-GB"/>
              </w:rPr>
              <w:t>Man2</w:t>
            </w:r>
          </w:p>
        </w:tc>
      </w:tr>
      <w:tr w:rsidR="00E02C27">
        <w:trPr>
          <w:jc w:val="center"/>
        </w:trPr>
        <w:tc>
          <w:tcPr>
            <w:tcW w:w="704" w:type="dxa"/>
            <w:tcBorders>
              <w:top w:val="single" w:sz="12" w:space="0" w:color="auto"/>
              <w:left w:val="nil"/>
            </w:tcBorders>
          </w:tcPr>
          <w:p w:rsidR="00E02C27" w:rsidRDefault="00E02C27">
            <w:pPr>
              <w:pStyle w:val="tabla"/>
              <w:jc w:val="both"/>
              <w:rPr>
                <w:rFonts w:cs="Arial"/>
                <w:b/>
                <w:lang w:val="en-GB"/>
              </w:rPr>
            </w:pPr>
          </w:p>
        </w:tc>
        <w:tc>
          <w:tcPr>
            <w:tcW w:w="703" w:type="dxa"/>
            <w:tcBorders>
              <w:top w:val="single" w:sz="12" w:space="0" w:color="auto"/>
              <w:right w:val="single" w:sz="12" w:space="0" w:color="auto"/>
            </w:tcBorders>
          </w:tcPr>
          <w:p w:rsidR="00E02C27" w:rsidRDefault="00E02C27">
            <w:pPr>
              <w:pStyle w:val="tabla"/>
              <w:jc w:val="both"/>
              <w:rPr>
                <w:rFonts w:cs="Arial"/>
                <w:b/>
                <w:lang w:val="en-GB"/>
              </w:rPr>
            </w:pPr>
          </w:p>
        </w:tc>
        <w:tc>
          <w:tcPr>
            <w:tcW w:w="703" w:type="dxa"/>
            <w:tcBorders>
              <w:top w:val="single" w:sz="12" w:space="0" w:color="auto"/>
              <w:left w:val="nil"/>
            </w:tcBorders>
          </w:tcPr>
          <w:p w:rsidR="00E02C27" w:rsidRDefault="00E02C27">
            <w:pPr>
              <w:pStyle w:val="tabla"/>
              <w:jc w:val="both"/>
              <w:rPr>
                <w:rFonts w:cs="Arial"/>
                <w:b/>
                <w:lang w:val="en-GB"/>
              </w:rPr>
            </w:pPr>
            <w:r>
              <w:rPr>
                <w:rFonts w:cs="Arial"/>
                <w:b/>
                <w:lang w:val="en-GB"/>
              </w:rPr>
              <w:t>BA</w:t>
            </w:r>
          </w:p>
        </w:tc>
        <w:tc>
          <w:tcPr>
            <w:tcW w:w="703" w:type="dxa"/>
            <w:tcBorders>
              <w:top w:val="single" w:sz="12" w:space="0" w:color="auto"/>
            </w:tcBorders>
          </w:tcPr>
          <w:p w:rsidR="00E02C27" w:rsidRDefault="00E02C27">
            <w:pPr>
              <w:pStyle w:val="tabla"/>
              <w:jc w:val="both"/>
              <w:rPr>
                <w:rFonts w:cs="Arial"/>
                <w:b/>
                <w:lang w:val="en-GB"/>
              </w:rPr>
            </w:pPr>
            <w:r>
              <w:rPr>
                <w:rFonts w:cs="Arial"/>
                <w:b/>
                <w:lang w:val="en-GB"/>
              </w:rPr>
              <w:t>C</w:t>
            </w:r>
          </w:p>
        </w:tc>
        <w:tc>
          <w:tcPr>
            <w:tcW w:w="704" w:type="dxa"/>
            <w:tcBorders>
              <w:top w:val="single" w:sz="12" w:space="0" w:color="auto"/>
            </w:tcBorders>
          </w:tcPr>
          <w:p w:rsidR="00E02C27" w:rsidRDefault="00E02C27">
            <w:pPr>
              <w:pStyle w:val="tabla"/>
              <w:jc w:val="both"/>
              <w:rPr>
                <w:rFonts w:cs="Arial"/>
                <w:b/>
                <w:lang w:val="en-GB"/>
              </w:rPr>
            </w:pPr>
          </w:p>
        </w:tc>
      </w:tr>
    </w:tbl>
    <w:p w:rsidR="00E02C27" w:rsidRDefault="00E02C27">
      <w:pPr>
        <w:rPr>
          <w:rFonts w:ascii="Arial" w:hAnsi="Arial" w:cs="Arial"/>
          <w:color w:val="FF0000"/>
          <w:lang w:val="en-GB"/>
        </w:rPr>
      </w:pPr>
    </w:p>
    <w:p w:rsidR="00E02C27" w:rsidRDefault="00E02C27">
      <w:pPr>
        <w:spacing w:after="120"/>
        <w:ind w:left="0"/>
        <w:jc w:val="center"/>
        <w:rPr>
          <w:rFonts w:ascii="Arial" w:hAnsi="Arial" w:cs="Arial"/>
        </w:rPr>
      </w:pPr>
      <w:r>
        <w:rPr>
          <w:rFonts w:ascii="Arial" w:hAnsi="Arial" w:cs="Arial"/>
          <w:i/>
          <w:iCs/>
          <w:lang w:val="es-ES_tradnl"/>
        </w:rPr>
        <w:t>Tabla 3: parte del formato del código GESCAL37 que codifica la escalera y el domicilio (</w:t>
      </w:r>
      <w:r>
        <w:rPr>
          <w:i/>
          <w:iCs/>
          <w:lang w:val="es-ES_tradnl"/>
        </w:rPr>
        <w:footnoteReference w:id="10"/>
      </w:r>
      <w:r>
        <w:rPr>
          <w:rFonts w:ascii="Arial" w:hAnsi="Arial" w:cs="Arial"/>
          <w:i/>
          <w:iCs/>
          <w:lang w:val="es-ES_tradnl"/>
        </w:rPr>
        <w:t>)</w:t>
      </w:r>
    </w:p>
    <w:p w:rsidR="00E02C27" w:rsidRDefault="00E02C27">
      <w:pPr>
        <w:pStyle w:val="PORTADALOGO"/>
        <w:spacing w:after="120"/>
        <w:rPr>
          <w:rFonts w:ascii="Arial" w:hAnsi="Arial" w:cs="Arial"/>
          <w:lang w:val="es-ES"/>
        </w:rPr>
      </w:pPr>
    </w:p>
    <w:p w:rsidR="00E02C27" w:rsidRDefault="00E02C27">
      <w:pPr>
        <w:pStyle w:val="PORTADALOGO"/>
        <w:spacing w:after="120"/>
        <w:rPr>
          <w:rFonts w:ascii="Arial" w:hAnsi="Arial" w:cs="Arial"/>
        </w:rPr>
      </w:pPr>
      <w:r>
        <w:rPr>
          <w:rFonts w:ascii="Arial" w:hAnsi="Arial" w:cs="Arial"/>
        </w:rPr>
        <w:t>Estos son los datos mínimos que se requerirán para que los procesos de Contratación, Tramitación, Asignación e Instalación sean eficientes.</w:t>
      </w:r>
    </w:p>
    <w:p w:rsidR="00E02C27" w:rsidRDefault="00E02C27">
      <w:pPr>
        <w:spacing w:after="120"/>
        <w:ind w:left="0"/>
        <w:rPr>
          <w:rFonts w:ascii="Arial" w:hAnsi="Arial" w:cs="Arial"/>
          <w:sz w:val="24"/>
          <w:lang w:val="es-ES_tradnl"/>
        </w:rPr>
      </w:pPr>
      <w:r>
        <w:rPr>
          <w:rFonts w:ascii="Arial" w:hAnsi="Arial" w:cs="Arial"/>
          <w:sz w:val="24"/>
          <w:lang w:val="es-ES_tradnl"/>
        </w:rPr>
        <w:t>Lógicamente, el hecho de que se establezca como obligatorio que el operador informe al menos de GESCAL24 implica que es necesario establecer un procedimiento para los casos en los que el operador no encuentre el código GESCAL12 ó el GESCAL24, de modo que pueda comunicar y/o resolver una incidencia para dar de alta la calle o la finca en GESCAL. En el apartado siguiente se especifica este procedimiento.</w:t>
      </w:r>
    </w:p>
    <w:p w:rsidR="00E02C27" w:rsidRDefault="00E02C27">
      <w:pPr>
        <w:rPr>
          <w:rFonts w:ascii="Arial" w:hAnsi="Arial" w:cs="Arial"/>
          <w:color w:val="FF0000"/>
        </w:rPr>
      </w:pPr>
    </w:p>
    <w:p w:rsidR="00E02C27" w:rsidRDefault="00E02C27">
      <w:pPr>
        <w:pStyle w:val="Ttulo2"/>
        <w:tabs>
          <w:tab w:val="clear" w:pos="84"/>
          <w:tab w:val="num" w:pos="576"/>
        </w:tabs>
        <w:ind w:left="576"/>
        <w:rPr>
          <w:rFonts w:ascii="Arial" w:hAnsi="Arial" w:cs="Arial"/>
          <w:snapToGrid/>
        </w:rPr>
      </w:pPr>
      <w:bookmarkStart w:id="125" w:name="_Toc255490155"/>
      <w:bookmarkStart w:id="126" w:name="_Toc444784500"/>
      <w:r>
        <w:rPr>
          <w:rFonts w:ascii="Arial" w:hAnsi="Arial" w:cs="Arial"/>
          <w:snapToGrid/>
        </w:rPr>
        <w:t>Bloque de datos de domicilio en la solicitud de alta sobre vacante en NEON</w:t>
      </w:r>
      <w:bookmarkEnd w:id="125"/>
      <w:bookmarkEnd w:id="126"/>
    </w:p>
    <w:p w:rsidR="00E02C27" w:rsidRDefault="00E02C27">
      <w:pPr>
        <w:pStyle w:val="Textoindependiente2"/>
        <w:rPr>
          <w:b w:val="0"/>
          <w:bCs/>
          <w:u w:val="single"/>
        </w:rPr>
      </w:pPr>
    </w:p>
    <w:p w:rsidR="00E02C27" w:rsidRDefault="00E02C27">
      <w:pPr>
        <w:pStyle w:val="PORTADALOGO"/>
        <w:spacing w:after="120"/>
        <w:rPr>
          <w:b/>
          <w:bCs/>
          <w:sz w:val="22"/>
        </w:rPr>
      </w:pPr>
      <w:r>
        <w:rPr>
          <w:rFonts w:ascii="Arial" w:hAnsi="Arial" w:cs="Arial"/>
        </w:rPr>
        <w:t>Una vez que el operador dispone del GESCAL24 o GESCAL37 del domicilio de interés (bien porque lo haya encontrado en GESCAL o bien porque lo haya dado de alta en GESCAL previamente), podrá realizar su  solicitud de alta sobre vacante (indirecto sin STB, desagregado o compartido sin STB), con la seguridad de que no existirá rechazo por problemas en la identificación del domicilio. Para ello, y en lo que respecta al bloque de datos de información del domicilio de instalación, la solicitud de alta sobre vacante en NEON estará compuesta por los siguientes campos:</w:t>
      </w:r>
    </w:p>
    <w:p w:rsidR="00E02C27" w:rsidRDefault="00E02C27">
      <w:pPr>
        <w:pStyle w:val="PORTADALOGO"/>
        <w:numPr>
          <w:ilvl w:val="0"/>
          <w:numId w:val="62"/>
        </w:numPr>
        <w:spacing w:after="120"/>
        <w:rPr>
          <w:rFonts w:ascii="Arial" w:hAnsi="Arial" w:cs="Arial"/>
        </w:rPr>
      </w:pPr>
      <w:r>
        <w:rPr>
          <w:rFonts w:ascii="Arial" w:hAnsi="Arial" w:cs="Arial"/>
          <w:b/>
          <w:bCs/>
        </w:rPr>
        <w:t>Código GESCAL</w:t>
      </w:r>
      <w:r>
        <w:rPr>
          <w:rFonts w:ascii="Arial" w:hAnsi="Arial" w:cs="Arial"/>
        </w:rPr>
        <w:t>. El operador podrá informar el código GESCAL24 ó el código GESCAL37, siendo obligatorio al menos GESCAL24. Si se informa el GESCAL37 no se tratarán los campos “Escalera” y “Domicilio” que se definen en el siguiente punto.</w:t>
      </w:r>
    </w:p>
    <w:p w:rsidR="00E02C27" w:rsidRDefault="00E02C27">
      <w:pPr>
        <w:pStyle w:val="PORTADALOGO"/>
        <w:numPr>
          <w:ilvl w:val="0"/>
          <w:numId w:val="62"/>
        </w:numPr>
        <w:spacing w:after="120"/>
        <w:rPr>
          <w:rFonts w:ascii="Arial" w:hAnsi="Arial" w:cs="Arial"/>
        </w:rPr>
      </w:pPr>
      <w:r>
        <w:rPr>
          <w:rFonts w:ascii="Arial" w:hAnsi="Arial" w:cs="Arial"/>
          <w:b/>
          <w:bCs/>
        </w:rPr>
        <w:t>Campos adicionales para información de “Escalera” y “Domicilio”.</w:t>
      </w:r>
      <w:r>
        <w:rPr>
          <w:rFonts w:ascii="Arial" w:hAnsi="Arial" w:cs="Arial"/>
        </w:rPr>
        <w:t xml:space="preserve"> Estos campos adicionales solamente deberán ser informados por el operador cuando haya utilizado GESCAL24 en el campo anterior, con el objetivo de detallar el resto de información de identificación del domicilio que no está contenida en el GESCAL24, es decir, la parte que va más allá de la finca: escalera  y domicilio. En el apartado siguiente se define su formato. Cuando el operador utilice GESCAL37 estos campos no son necesarios, por lo que no deben tratarse.</w:t>
      </w:r>
    </w:p>
    <w:p w:rsidR="00E02C27" w:rsidRDefault="00E02C27">
      <w:pPr>
        <w:pStyle w:val="PORTADALOGO"/>
        <w:numPr>
          <w:ilvl w:val="0"/>
          <w:numId w:val="62"/>
        </w:numPr>
        <w:spacing w:after="120"/>
        <w:rPr>
          <w:rFonts w:ascii="Arial" w:hAnsi="Arial" w:cs="Arial"/>
        </w:rPr>
      </w:pPr>
      <w:r>
        <w:rPr>
          <w:rFonts w:ascii="Arial" w:hAnsi="Arial" w:cs="Arial"/>
          <w:b/>
          <w:bCs/>
        </w:rPr>
        <w:t>Campo Observaciones</w:t>
      </w:r>
      <w:r>
        <w:rPr>
          <w:rFonts w:ascii="Arial" w:hAnsi="Arial" w:cs="Arial"/>
        </w:rPr>
        <w:t>. En este campo el operador podrá informar un “teléfono cercano”. Este dato es de gran utilidad para el proceso de asignación en casos de fincas indefinidas (sin número), ya que conociendo el teléfono de un domicilio cercano al deseado se puede identificar la finca indefinida y la caja que la atiende.</w:t>
      </w:r>
    </w:p>
    <w:p w:rsidR="00E02C27" w:rsidRDefault="00E02C27">
      <w:pPr>
        <w:pStyle w:val="Textoindependiente2"/>
        <w:rPr>
          <w:b w:val="0"/>
          <w:bCs/>
        </w:rPr>
      </w:pPr>
    </w:p>
    <w:p w:rsidR="00E02C27" w:rsidRDefault="00E02C27">
      <w:pPr>
        <w:pStyle w:val="Ttulo2"/>
        <w:tabs>
          <w:tab w:val="clear" w:pos="84"/>
          <w:tab w:val="num" w:pos="576"/>
        </w:tabs>
        <w:ind w:left="576"/>
        <w:rPr>
          <w:rFonts w:ascii="Arial" w:hAnsi="Arial" w:cs="Arial"/>
          <w:snapToGrid/>
        </w:rPr>
      </w:pPr>
      <w:bookmarkStart w:id="127" w:name="_Toc255490156"/>
      <w:bookmarkStart w:id="128" w:name="_Toc444784501"/>
      <w:r>
        <w:rPr>
          <w:rFonts w:ascii="Arial" w:hAnsi="Arial" w:cs="Arial"/>
          <w:snapToGrid/>
        </w:rPr>
        <w:t>Formato de los campos adicionales para información de “Escalera” y “Domicilio”</w:t>
      </w:r>
      <w:bookmarkEnd w:id="127"/>
      <w:bookmarkEnd w:id="128"/>
    </w:p>
    <w:p w:rsidR="00E02C27" w:rsidRDefault="00E02C27">
      <w:pPr>
        <w:pStyle w:val="Textoindependiente2"/>
        <w:rPr>
          <w:b w:val="0"/>
          <w:bCs/>
        </w:rPr>
      </w:pPr>
    </w:p>
    <w:p w:rsidR="00E02C27" w:rsidRDefault="00E02C27">
      <w:pPr>
        <w:pStyle w:val="PORTADALOGO"/>
        <w:spacing w:after="120"/>
        <w:rPr>
          <w:rFonts w:ascii="Arial" w:hAnsi="Arial" w:cs="Arial"/>
        </w:rPr>
      </w:pPr>
      <w:r>
        <w:rPr>
          <w:rFonts w:ascii="Arial" w:hAnsi="Arial" w:cs="Arial"/>
        </w:rPr>
        <w:t xml:space="preserve">Cuando el operador utilice GESCAL24 (finca) tendrá que informar del resto de los datos de identificación del domicilio en campos adicionales específicos: son los datos relativos a la escalera y al domicilio dentro de la finca. </w:t>
      </w:r>
    </w:p>
    <w:p w:rsidR="00E02C27" w:rsidRDefault="00E02C27">
      <w:pPr>
        <w:pStyle w:val="PORTADALOGO"/>
        <w:spacing w:after="120"/>
        <w:rPr>
          <w:rFonts w:ascii="Arial" w:hAnsi="Arial" w:cs="Arial"/>
        </w:rPr>
      </w:pPr>
      <w:r>
        <w:rPr>
          <w:rFonts w:ascii="Arial" w:hAnsi="Arial" w:cs="Arial"/>
        </w:rPr>
        <w:t>Las definiciones de escalera y domicilio en GESCAL son las siguientes:</w:t>
      </w:r>
    </w:p>
    <w:p w:rsidR="00E02C27" w:rsidRDefault="00E02C27">
      <w:pPr>
        <w:pStyle w:val="PORTADALOGO"/>
        <w:spacing w:after="120"/>
        <w:ind w:left="709"/>
        <w:rPr>
          <w:rFonts w:ascii="Arial" w:hAnsi="Arial" w:cs="Arial"/>
        </w:rPr>
      </w:pPr>
      <w:r>
        <w:rPr>
          <w:rFonts w:ascii="Arial" w:hAnsi="Arial" w:cs="Arial"/>
          <w:u w:val="single"/>
        </w:rPr>
        <w:t>Escalera:</w:t>
      </w:r>
      <w:r>
        <w:rPr>
          <w:rFonts w:ascii="Arial" w:hAnsi="Arial" w:cs="Arial"/>
        </w:rPr>
        <w:t xml:space="preserve"> Subdivisión existente dentro de una finca, caracterizado por el acceso común a las viviendas. Al menos va a existir siempre un registro de escalera para cada finca, aunque esta físicamente no contenga ninguna escalera. Esta escalera se conoce como escalera única y sus posiciones dentro de la clave están en blanco.</w:t>
      </w:r>
    </w:p>
    <w:p w:rsidR="00E02C27" w:rsidRDefault="00E02C27">
      <w:pPr>
        <w:pStyle w:val="PORTADALOGO"/>
        <w:spacing w:after="120"/>
        <w:ind w:left="709"/>
        <w:rPr>
          <w:rFonts w:ascii="Arial" w:hAnsi="Arial" w:cs="Arial"/>
        </w:rPr>
      </w:pPr>
      <w:r>
        <w:rPr>
          <w:rFonts w:ascii="Arial" w:hAnsi="Arial" w:cs="Arial"/>
          <w:u w:val="single"/>
        </w:rPr>
        <w:t>Domicilio o UGV (Unidad Geográfica Vertical):</w:t>
      </w:r>
      <w:r>
        <w:rPr>
          <w:rFonts w:ascii="Arial" w:hAnsi="Arial" w:cs="Arial"/>
        </w:rPr>
        <w:t xml:space="preserve"> Se considera unidad geográfica vertical a cualquier localización concreta y determinada que identifica unitariamente una posición (por ejemplo: un apartamento dentro de un bloque de viviendas).</w:t>
      </w:r>
    </w:p>
    <w:p w:rsidR="00E02C27" w:rsidRDefault="00E02C27">
      <w:pPr>
        <w:pStyle w:val="Textoindependiente2"/>
        <w:rPr>
          <w:b w:val="0"/>
          <w:bCs/>
          <w:lang w:val="es-ES_tradnl"/>
        </w:rPr>
      </w:pPr>
    </w:p>
    <w:p w:rsidR="00E02C27" w:rsidRDefault="00E02C27" w:rsidP="00D36498">
      <w:pPr>
        <w:pStyle w:val="PORTADALOGO"/>
        <w:keepNext/>
        <w:spacing w:after="120"/>
        <w:rPr>
          <w:rFonts w:ascii="Arial" w:hAnsi="Arial" w:cs="Arial"/>
          <w:b/>
          <w:bCs/>
          <w:u w:val="single"/>
        </w:rPr>
      </w:pPr>
      <w:r>
        <w:rPr>
          <w:rFonts w:ascii="Arial" w:hAnsi="Arial" w:cs="Arial"/>
          <w:b/>
          <w:bCs/>
          <w:u w:val="single"/>
        </w:rPr>
        <w:t>Campo Escalera.</w:t>
      </w:r>
    </w:p>
    <w:p w:rsidR="00E02C27" w:rsidRDefault="00E02C27">
      <w:pPr>
        <w:pStyle w:val="Textoindependiente2"/>
        <w:rPr>
          <w:u w:val="single"/>
        </w:rPr>
      </w:pPr>
    </w:p>
    <w:p w:rsidR="00E02C27" w:rsidRDefault="00E02C27">
      <w:pPr>
        <w:pStyle w:val="PORTADALOGO"/>
        <w:spacing w:after="120"/>
        <w:rPr>
          <w:rFonts w:ascii="Arial" w:hAnsi="Arial" w:cs="Arial"/>
        </w:rPr>
      </w:pPr>
      <w:r>
        <w:rPr>
          <w:rFonts w:ascii="Arial" w:hAnsi="Arial" w:cs="Arial"/>
        </w:rPr>
        <w:t xml:space="preserve">-Obligatoriedad: es un campo </w:t>
      </w:r>
      <w:r>
        <w:rPr>
          <w:rFonts w:ascii="Arial" w:hAnsi="Arial" w:cs="Arial"/>
          <w:b/>
          <w:bCs/>
        </w:rPr>
        <w:t>opcional</w:t>
      </w:r>
      <w:r>
        <w:rPr>
          <w:rFonts w:ascii="Arial" w:hAnsi="Arial" w:cs="Arial"/>
        </w:rPr>
        <w:t>.</w:t>
      </w:r>
    </w:p>
    <w:p w:rsidR="00E02C27" w:rsidRDefault="00E02C27">
      <w:pPr>
        <w:pStyle w:val="PORTADALOGO"/>
        <w:spacing w:after="120"/>
        <w:rPr>
          <w:rFonts w:ascii="Arial" w:hAnsi="Arial" w:cs="Arial"/>
        </w:rPr>
      </w:pPr>
      <w:r>
        <w:rPr>
          <w:rFonts w:ascii="Arial" w:hAnsi="Arial" w:cs="Arial"/>
        </w:rPr>
        <w:t xml:space="preserve">-Formato: es un campo de 2 posiciones que pueden tomar cualquier valor comprendido entre A-Z y el 0-9. </w:t>
      </w:r>
    </w:p>
    <w:p w:rsidR="00E02C27" w:rsidRDefault="00E02C27">
      <w:pPr>
        <w:pStyle w:val="PORTADALOGO"/>
        <w:spacing w:after="120"/>
        <w:rPr>
          <w:rFonts w:ascii="Arial" w:hAnsi="Arial" w:cs="Arial"/>
        </w:rPr>
      </w:pPr>
      <w:r>
        <w:rPr>
          <w:rFonts w:ascii="Arial" w:hAnsi="Arial" w:cs="Arial"/>
        </w:rPr>
        <w:t>Para los casos más habituales existe una codificación preestablecida, que debe ser utilizada:</w:t>
      </w:r>
    </w:p>
    <w:p w:rsidR="00E02C27" w:rsidRDefault="00E02C27">
      <w:pPr>
        <w:pStyle w:val="Textoindependiente2"/>
        <w:rPr>
          <w:b w:val="0"/>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2835"/>
      </w:tblGrid>
      <w:tr w:rsidR="00E02C27">
        <w:tc>
          <w:tcPr>
            <w:tcW w:w="992" w:type="dxa"/>
            <w:vAlign w:val="center"/>
          </w:tcPr>
          <w:p w:rsidR="00E02C27" w:rsidRDefault="00E02C27">
            <w:pPr>
              <w:pStyle w:val="tabla"/>
            </w:pPr>
            <w:r>
              <w:t xml:space="preserve">V </w:t>
            </w:r>
          </w:p>
        </w:tc>
        <w:tc>
          <w:tcPr>
            <w:tcW w:w="2835" w:type="dxa"/>
            <w:vAlign w:val="center"/>
          </w:tcPr>
          <w:p w:rsidR="00E02C27" w:rsidRDefault="00E02C27">
            <w:pPr>
              <w:pStyle w:val="tabla"/>
            </w:pPr>
            <w:r>
              <w:t>Izquierda</w:t>
            </w:r>
          </w:p>
        </w:tc>
      </w:tr>
      <w:tr w:rsidR="00E02C27">
        <w:tc>
          <w:tcPr>
            <w:tcW w:w="992" w:type="dxa"/>
            <w:vAlign w:val="center"/>
          </w:tcPr>
          <w:p w:rsidR="00E02C27" w:rsidRDefault="00E02C27">
            <w:pPr>
              <w:pStyle w:val="tabla"/>
            </w:pPr>
            <w:r>
              <w:t>W</w:t>
            </w:r>
          </w:p>
        </w:tc>
        <w:tc>
          <w:tcPr>
            <w:tcW w:w="2835" w:type="dxa"/>
            <w:vAlign w:val="center"/>
          </w:tcPr>
          <w:p w:rsidR="00E02C27" w:rsidRDefault="00E02C27">
            <w:pPr>
              <w:pStyle w:val="tabla"/>
            </w:pPr>
            <w:r>
              <w:t>Derecha</w:t>
            </w:r>
          </w:p>
        </w:tc>
      </w:tr>
      <w:tr w:rsidR="00E02C27">
        <w:tc>
          <w:tcPr>
            <w:tcW w:w="992" w:type="dxa"/>
            <w:vAlign w:val="center"/>
          </w:tcPr>
          <w:p w:rsidR="00E02C27" w:rsidRDefault="00E02C27">
            <w:pPr>
              <w:pStyle w:val="tabla"/>
            </w:pPr>
            <w:r>
              <w:t>X</w:t>
            </w:r>
          </w:p>
        </w:tc>
        <w:tc>
          <w:tcPr>
            <w:tcW w:w="2835" w:type="dxa"/>
            <w:vAlign w:val="center"/>
          </w:tcPr>
          <w:p w:rsidR="00E02C27" w:rsidRDefault="00E02C27">
            <w:pPr>
              <w:pStyle w:val="tabla"/>
            </w:pPr>
            <w:r>
              <w:t>Centro</w:t>
            </w:r>
          </w:p>
        </w:tc>
      </w:tr>
      <w:tr w:rsidR="00E02C27">
        <w:tc>
          <w:tcPr>
            <w:tcW w:w="992" w:type="dxa"/>
            <w:vAlign w:val="center"/>
          </w:tcPr>
          <w:p w:rsidR="00E02C27" w:rsidRDefault="00E02C27">
            <w:pPr>
              <w:pStyle w:val="tabla"/>
            </w:pPr>
            <w:r>
              <w:t>Y</w:t>
            </w:r>
          </w:p>
        </w:tc>
        <w:tc>
          <w:tcPr>
            <w:tcW w:w="2835" w:type="dxa"/>
            <w:vAlign w:val="center"/>
          </w:tcPr>
          <w:p w:rsidR="00E02C27" w:rsidRDefault="00E02C27">
            <w:pPr>
              <w:pStyle w:val="tabla"/>
            </w:pPr>
            <w:r>
              <w:t>Interior</w:t>
            </w:r>
          </w:p>
        </w:tc>
      </w:tr>
      <w:tr w:rsidR="00E02C27">
        <w:tc>
          <w:tcPr>
            <w:tcW w:w="992" w:type="dxa"/>
            <w:vAlign w:val="center"/>
          </w:tcPr>
          <w:p w:rsidR="00E02C27" w:rsidRDefault="00E02C27">
            <w:pPr>
              <w:pStyle w:val="tabla"/>
            </w:pPr>
            <w:r>
              <w:t>Z</w:t>
            </w:r>
          </w:p>
        </w:tc>
        <w:tc>
          <w:tcPr>
            <w:tcW w:w="2835" w:type="dxa"/>
            <w:vAlign w:val="center"/>
          </w:tcPr>
          <w:p w:rsidR="00E02C27" w:rsidRDefault="00E02C27">
            <w:pPr>
              <w:pStyle w:val="tabla"/>
            </w:pPr>
            <w:r>
              <w:t>Exterior</w:t>
            </w:r>
          </w:p>
        </w:tc>
      </w:tr>
    </w:tbl>
    <w:p w:rsidR="00E02C27" w:rsidRDefault="00E02C27">
      <w:pPr>
        <w:pStyle w:val="Textoindependiente2"/>
        <w:rPr>
          <w:u w:val="single"/>
        </w:rPr>
      </w:pPr>
    </w:p>
    <w:p w:rsidR="00E02C27" w:rsidRDefault="00E02C27">
      <w:pPr>
        <w:pStyle w:val="PORTADALOGO"/>
        <w:spacing w:after="120"/>
        <w:rPr>
          <w:rFonts w:ascii="Arial" w:hAnsi="Arial" w:cs="Arial"/>
          <w:b/>
          <w:bCs/>
          <w:u w:val="single"/>
        </w:rPr>
      </w:pPr>
      <w:r>
        <w:rPr>
          <w:rFonts w:ascii="Arial" w:hAnsi="Arial" w:cs="Arial"/>
          <w:b/>
          <w:bCs/>
          <w:u w:val="single"/>
        </w:rPr>
        <w:t>Campo Domicilio.</w:t>
      </w:r>
    </w:p>
    <w:p w:rsidR="00E02C27" w:rsidRDefault="00E02C27">
      <w:pPr>
        <w:pStyle w:val="Textoindependiente2"/>
        <w:rPr>
          <w:b w:val="0"/>
          <w:u w:val="single"/>
        </w:rPr>
      </w:pPr>
    </w:p>
    <w:p w:rsidR="00E02C27" w:rsidRDefault="00E02C27">
      <w:pPr>
        <w:pStyle w:val="PORTADALOGO"/>
        <w:spacing w:after="120"/>
        <w:rPr>
          <w:rFonts w:ascii="Arial" w:hAnsi="Arial" w:cs="Arial"/>
        </w:rPr>
      </w:pPr>
      <w:r>
        <w:rPr>
          <w:rFonts w:ascii="Arial" w:hAnsi="Arial" w:cs="Arial"/>
        </w:rPr>
        <w:t>Está compuesto por 3 subcampos:</w:t>
      </w:r>
    </w:p>
    <w:p w:rsidR="00E02C27" w:rsidRDefault="00E02C27">
      <w:pPr>
        <w:pStyle w:val="Textoindependiente2"/>
        <w:rPr>
          <w:b w:val="0"/>
          <w:bCs/>
        </w:rPr>
      </w:pPr>
    </w:p>
    <w:p w:rsidR="00E02C27" w:rsidRDefault="00E02C27">
      <w:pPr>
        <w:pStyle w:val="PORTADALOGO"/>
        <w:numPr>
          <w:ilvl w:val="0"/>
          <w:numId w:val="64"/>
        </w:numPr>
        <w:spacing w:after="120"/>
        <w:rPr>
          <w:rFonts w:ascii="Arial" w:hAnsi="Arial" w:cs="Arial"/>
        </w:rPr>
      </w:pPr>
      <w:r>
        <w:rPr>
          <w:rFonts w:ascii="Arial" w:hAnsi="Arial" w:cs="Arial"/>
          <w:u w:val="single"/>
        </w:rPr>
        <w:t>Identificativo de Planta</w:t>
      </w:r>
      <w:r>
        <w:rPr>
          <w:rFonts w:ascii="Arial" w:hAnsi="Arial" w:cs="Arial"/>
        </w:rPr>
        <w:t xml:space="preserve">. </w:t>
      </w:r>
    </w:p>
    <w:p w:rsidR="00E02C27" w:rsidRDefault="00E02C27">
      <w:pPr>
        <w:pStyle w:val="PORTADALOGO"/>
        <w:spacing w:after="120"/>
        <w:ind w:left="709"/>
        <w:rPr>
          <w:rFonts w:ascii="Arial" w:hAnsi="Arial" w:cs="Arial"/>
        </w:rPr>
      </w:pPr>
      <w:r>
        <w:rPr>
          <w:rFonts w:ascii="Arial" w:hAnsi="Arial" w:cs="Arial"/>
        </w:rPr>
        <w:t xml:space="preserve">-Obligatoridad: es un campo </w:t>
      </w:r>
      <w:r>
        <w:rPr>
          <w:rFonts w:ascii="Arial" w:hAnsi="Arial" w:cs="Arial"/>
          <w:b/>
          <w:bCs/>
        </w:rPr>
        <w:t>obligatorio.</w:t>
      </w:r>
    </w:p>
    <w:p w:rsidR="00E02C27" w:rsidRDefault="00E02C27">
      <w:pPr>
        <w:pStyle w:val="PORTADALOGO"/>
        <w:spacing w:after="120"/>
        <w:ind w:left="709"/>
        <w:rPr>
          <w:rFonts w:ascii="Arial" w:hAnsi="Arial" w:cs="Arial"/>
        </w:rPr>
      </w:pPr>
      <w:r>
        <w:rPr>
          <w:rFonts w:ascii="Arial" w:hAnsi="Arial" w:cs="Arial"/>
        </w:rPr>
        <w:t>-Formato: Subcampo de 3 posiciones, que puede tomar los siguientes valores:</w:t>
      </w:r>
    </w:p>
    <w:p w:rsidR="00E02C27" w:rsidRDefault="00E02C27">
      <w:pPr>
        <w:pStyle w:val="PORTADALOGO"/>
        <w:numPr>
          <w:ilvl w:val="0"/>
          <w:numId w:val="63"/>
        </w:numPr>
        <w:spacing w:after="120"/>
        <w:rPr>
          <w:rFonts w:ascii="Arial" w:hAnsi="Arial" w:cs="Arial"/>
        </w:rPr>
      </w:pPr>
      <w:r>
        <w:rPr>
          <w:rFonts w:ascii="Arial" w:hAnsi="Arial" w:cs="Arial"/>
        </w:rPr>
        <w:t>Un número de 3 posiciones (con ceros por delante), para especificar plantas de tipo numérico.</w:t>
      </w:r>
    </w:p>
    <w:p w:rsidR="00E02C27" w:rsidRDefault="00E02C27">
      <w:pPr>
        <w:pStyle w:val="PORTADALOGO"/>
        <w:numPr>
          <w:ilvl w:val="0"/>
          <w:numId w:val="63"/>
        </w:numPr>
        <w:spacing w:after="120"/>
        <w:rPr>
          <w:rFonts w:ascii="Arial" w:hAnsi="Arial" w:cs="Arial"/>
        </w:rPr>
      </w:pPr>
      <w:r>
        <w:rPr>
          <w:rFonts w:ascii="Arial" w:hAnsi="Arial" w:cs="Arial"/>
        </w:rPr>
        <w:t xml:space="preserve">Un alfanumérico de 2 posiciones y un blanco por el final para especificar plantas de tipo alfanumérico, por ejemplo bajo, sótano, etc. En este caso debe utilizarse la siguiente codificación. </w:t>
      </w:r>
    </w:p>
    <w:p w:rsidR="00E02C27" w:rsidRDefault="00E02C27">
      <w:pPr>
        <w:pStyle w:val="Textoindependiente2"/>
        <w:rPr>
          <w:b w:val="0"/>
          <w:bCs/>
          <w:u w:val="single"/>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2835"/>
      </w:tblGrid>
      <w:tr w:rsidR="00E02C27">
        <w:tc>
          <w:tcPr>
            <w:tcW w:w="992" w:type="dxa"/>
            <w:vAlign w:val="center"/>
          </w:tcPr>
          <w:p w:rsidR="00E02C27" w:rsidRDefault="00E02C27">
            <w:pPr>
              <w:pStyle w:val="tabla"/>
            </w:pPr>
            <w:r>
              <w:t>AL</w:t>
            </w:r>
          </w:p>
        </w:tc>
        <w:tc>
          <w:tcPr>
            <w:tcW w:w="2835" w:type="dxa"/>
            <w:vAlign w:val="center"/>
          </w:tcPr>
          <w:p w:rsidR="00E02C27" w:rsidRDefault="00E02C27">
            <w:pPr>
              <w:pStyle w:val="tabla"/>
            </w:pPr>
            <w:r>
              <w:t>Altillo</w:t>
            </w:r>
          </w:p>
        </w:tc>
      </w:tr>
      <w:tr w:rsidR="00E02C27">
        <w:tc>
          <w:tcPr>
            <w:tcW w:w="992" w:type="dxa"/>
            <w:vAlign w:val="center"/>
          </w:tcPr>
          <w:p w:rsidR="00E02C27" w:rsidRDefault="00E02C27">
            <w:pPr>
              <w:pStyle w:val="tabla"/>
            </w:pPr>
            <w:r>
              <w:t>AM</w:t>
            </w:r>
          </w:p>
        </w:tc>
        <w:tc>
          <w:tcPr>
            <w:tcW w:w="2835" w:type="dxa"/>
            <w:vAlign w:val="center"/>
          </w:tcPr>
          <w:p w:rsidR="00E02C27" w:rsidRDefault="00E02C27">
            <w:pPr>
              <w:pStyle w:val="tabla"/>
            </w:pPr>
            <w:r>
              <w:t>Almacén</w:t>
            </w:r>
          </w:p>
        </w:tc>
      </w:tr>
      <w:tr w:rsidR="00E02C27">
        <w:tc>
          <w:tcPr>
            <w:tcW w:w="992" w:type="dxa"/>
            <w:vAlign w:val="center"/>
          </w:tcPr>
          <w:p w:rsidR="00E02C27" w:rsidRDefault="00E02C27">
            <w:pPr>
              <w:pStyle w:val="tabla"/>
            </w:pPr>
            <w:r>
              <w:t>AS</w:t>
            </w:r>
          </w:p>
        </w:tc>
        <w:tc>
          <w:tcPr>
            <w:tcW w:w="2835" w:type="dxa"/>
            <w:vAlign w:val="center"/>
          </w:tcPr>
          <w:p w:rsidR="00E02C27" w:rsidRDefault="00E02C27">
            <w:pPr>
              <w:pStyle w:val="tabla"/>
            </w:pPr>
            <w:r>
              <w:t>Ascensor</w:t>
            </w:r>
          </w:p>
        </w:tc>
      </w:tr>
      <w:tr w:rsidR="00E02C27">
        <w:tc>
          <w:tcPr>
            <w:tcW w:w="992" w:type="dxa"/>
            <w:vAlign w:val="center"/>
          </w:tcPr>
          <w:p w:rsidR="00E02C27" w:rsidRDefault="00E02C27">
            <w:pPr>
              <w:pStyle w:val="tabla"/>
              <w:rPr>
                <w:lang w:val="en-GB"/>
              </w:rPr>
            </w:pPr>
            <w:r>
              <w:rPr>
                <w:lang w:val="en-GB"/>
              </w:rPr>
              <w:t>AT</w:t>
            </w:r>
          </w:p>
        </w:tc>
        <w:tc>
          <w:tcPr>
            <w:tcW w:w="2835" w:type="dxa"/>
            <w:vAlign w:val="center"/>
          </w:tcPr>
          <w:p w:rsidR="00E02C27" w:rsidRDefault="00E02C27">
            <w:pPr>
              <w:pStyle w:val="tabla"/>
              <w:rPr>
                <w:lang w:val="en-GB"/>
              </w:rPr>
            </w:pPr>
            <w:r>
              <w:rPr>
                <w:lang w:val="en-GB"/>
              </w:rPr>
              <w:t>Atico</w:t>
            </w:r>
          </w:p>
        </w:tc>
      </w:tr>
      <w:tr w:rsidR="00E02C27">
        <w:tc>
          <w:tcPr>
            <w:tcW w:w="992" w:type="dxa"/>
            <w:vAlign w:val="center"/>
          </w:tcPr>
          <w:p w:rsidR="00E02C27" w:rsidRDefault="00E02C27">
            <w:pPr>
              <w:pStyle w:val="tabla"/>
              <w:rPr>
                <w:lang w:val="en-GB"/>
              </w:rPr>
            </w:pPr>
            <w:r>
              <w:rPr>
                <w:lang w:val="en-GB"/>
              </w:rPr>
              <w:t>BA</w:t>
            </w:r>
          </w:p>
        </w:tc>
        <w:tc>
          <w:tcPr>
            <w:tcW w:w="2835" w:type="dxa"/>
            <w:vAlign w:val="center"/>
          </w:tcPr>
          <w:p w:rsidR="00E02C27" w:rsidRDefault="00E02C27">
            <w:pPr>
              <w:pStyle w:val="tabla"/>
            </w:pPr>
            <w:r>
              <w:t>Bajo</w:t>
            </w:r>
          </w:p>
        </w:tc>
      </w:tr>
      <w:tr w:rsidR="00E02C27">
        <w:tc>
          <w:tcPr>
            <w:tcW w:w="992" w:type="dxa"/>
            <w:vAlign w:val="center"/>
          </w:tcPr>
          <w:p w:rsidR="00E02C27" w:rsidRDefault="00E02C27">
            <w:pPr>
              <w:pStyle w:val="tabla"/>
            </w:pPr>
            <w:r>
              <w:t>BU</w:t>
            </w:r>
          </w:p>
        </w:tc>
        <w:tc>
          <w:tcPr>
            <w:tcW w:w="2835" w:type="dxa"/>
            <w:vAlign w:val="center"/>
          </w:tcPr>
          <w:p w:rsidR="00E02C27" w:rsidRDefault="00E02C27">
            <w:pPr>
              <w:pStyle w:val="tabla"/>
            </w:pPr>
            <w:r>
              <w:t>Bungalow</w:t>
            </w:r>
          </w:p>
        </w:tc>
      </w:tr>
      <w:tr w:rsidR="00E02C27">
        <w:tc>
          <w:tcPr>
            <w:tcW w:w="992" w:type="dxa"/>
            <w:vAlign w:val="center"/>
          </w:tcPr>
          <w:p w:rsidR="00E02C27" w:rsidRDefault="00E02C27">
            <w:pPr>
              <w:pStyle w:val="tabla"/>
              <w:rPr>
                <w:lang w:val="fr-FR"/>
              </w:rPr>
            </w:pPr>
            <w:r>
              <w:rPr>
                <w:lang w:val="fr-FR"/>
              </w:rPr>
              <w:t>CH</w:t>
            </w:r>
          </w:p>
        </w:tc>
        <w:tc>
          <w:tcPr>
            <w:tcW w:w="2835" w:type="dxa"/>
            <w:vAlign w:val="center"/>
          </w:tcPr>
          <w:p w:rsidR="00E02C27" w:rsidRDefault="00E02C27">
            <w:pPr>
              <w:pStyle w:val="tabla"/>
              <w:rPr>
                <w:lang w:val="fr-FR"/>
              </w:rPr>
            </w:pPr>
            <w:r>
              <w:rPr>
                <w:lang w:val="fr-FR"/>
              </w:rPr>
              <w:t>Chalet</w:t>
            </w:r>
          </w:p>
        </w:tc>
      </w:tr>
      <w:tr w:rsidR="00E02C27">
        <w:tc>
          <w:tcPr>
            <w:tcW w:w="992" w:type="dxa"/>
            <w:vAlign w:val="center"/>
          </w:tcPr>
          <w:p w:rsidR="00E02C27" w:rsidRDefault="00E02C27">
            <w:pPr>
              <w:pStyle w:val="tabla"/>
              <w:rPr>
                <w:lang w:val="fr-FR"/>
              </w:rPr>
            </w:pPr>
            <w:r>
              <w:rPr>
                <w:lang w:val="fr-FR"/>
              </w:rPr>
              <w:t>DU</w:t>
            </w:r>
          </w:p>
        </w:tc>
        <w:tc>
          <w:tcPr>
            <w:tcW w:w="2835" w:type="dxa"/>
            <w:vAlign w:val="center"/>
          </w:tcPr>
          <w:p w:rsidR="00E02C27" w:rsidRDefault="00E02C27">
            <w:pPr>
              <w:pStyle w:val="tabla"/>
            </w:pPr>
            <w:r>
              <w:t>Dúplex</w:t>
            </w:r>
          </w:p>
        </w:tc>
      </w:tr>
      <w:tr w:rsidR="00E02C27">
        <w:tc>
          <w:tcPr>
            <w:tcW w:w="992" w:type="dxa"/>
            <w:vAlign w:val="center"/>
          </w:tcPr>
          <w:p w:rsidR="00E02C27" w:rsidRDefault="00E02C27">
            <w:pPr>
              <w:pStyle w:val="tabla"/>
            </w:pPr>
            <w:r>
              <w:t>EN</w:t>
            </w:r>
          </w:p>
        </w:tc>
        <w:tc>
          <w:tcPr>
            <w:tcW w:w="2835" w:type="dxa"/>
            <w:vAlign w:val="center"/>
          </w:tcPr>
          <w:p w:rsidR="00E02C27" w:rsidRDefault="00E02C27">
            <w:pPr>
              <w:pStyle w:val="tabla"/>
            </w:pPr>
            <w:r>
              <w:t>Entresuelo</w:t>
            </w:r>
          </w:p>
        </w:tc>
      </w:tr>
      <w:tr w:rsidR="00E02C27">
        <w:tc>
          <w:tcPr>
            <w:tcW w:w="992" w:type="dxa"/>
            <w:vAlign w:val="center"/>
          </w:tcPr>
          <w:p w:rsidR="00E02C27" w:rsidRDefault="00E02C27">
            <w:pPr>
              <w:pStyle w:val="tabla"/>
              <w:rPr>
                <w:lang w:val="fr-FR"/>
              </w:rPr>
            </w:pPr>
            <w:r>
              <w:rPr>
                <w:lang w:val="fr-FR"/>
              </w:rPr>
              <w:t>ET</w:t>
            </w:r>
          </w:p>
        </w:tc>
        <w:tc>
          <w:tcPr>
            <w:tcW w:w="2835" w:type="dxa"/>
            <w:vAlign w:val="center"/>
          </w:tcPr>
          <w:p w:rsidR="00E02C27" w:rsidRDefault="00E02C27">
            <w:pPr>
              <w:pStyle w:val="tabla"/>
              <w:rPr>
                <w:lang w:val="fr-FR"/>
              </w:rPr>
            </w:pPr>
            <w:r>
              <w:rPr>
                <w:lang w:val="fr-FR"/>
              </w:rPr>
              <w:t>Entreplanta</w:t>
            </w:r>
          </w:p>
        </w:tc>
      </w:tr>
      <w:tr w:rsidR="00E02C27">
        <w:tc>
          <w:tcPr>
            <w:tcW w:w="992" w:type="dxa"/>
            <w:vAlign w:val="center"/>
          </w:tcPr>
          <w:p w:rsidR="00E02C27" w:rsidRDefault="00E02C27">
            <w:pPr>
              <w:pStyle w:val="tabla"/>
              <w:rPr>
                <w:lang w:val="fr-FR"/>
              </w:rPr>
            </w:pPr>
            <w:r>
              <w:rPr>
                <w:lang w:val="fr-FR"/>
              </w:rPr>
              <w:t>GA</w:t>
            </w:r>
          </w:p>
        </w:tc>
        <w:tc>
          <w:tcPr>
            <w:tcW w:w="2835" w:type="dxa"/>
            <w:vAlign w:val="center"/>
          </w:tcPr>
          <w:p w:rsidR="00E02C27" w:rsidRDefault="00E02C27">
            <w:pPr>
              <w:pStyle w:val="tabla"/>
            </w:pPr>
            <w:r>
              <w:t>Garaje</w:t>
            </w:r>
          </w:p>
        </w:tc>
      </w:tr>
      <w:tr w:rsidR="00E02C27">
        <w:tc>
          <w:tcPr>
            <w:tcW w:w="992" w:type="dxa"/>
            <w:vAlign w:val="center"/>
          </w:tcPr>
          <w:p w:rsidR="00E02C27" w:rsidRDefault="00E02C27">
            <w:pPr>
              <w:pStyle w:val="tabla"/>
            </w:pPr>
            <w:r>
              <w:t>KI</w:t>
            </w:r>
          </w:p>
        </w:tc>
        <w:tc>
          <w:tcPr>
            <w:tcW w:w="2835" w:type="dxa"/>
            <w:vAlign w:val="center"/>
          </w:tcPr>
          <w:p w:rsidR="00E02C27" w:rsidRDefault="00E02C27">
            <w:pPr>
              <w:pStyle w:val="tabla"/>
            </w:pPr>
            <w:r>
              <w:t>Kiosco</w:t>
            </w:r>
          </w:p>
        </w:tc>
      </w:tr>
      <w:tr w:rsidR="00E02C27">
        <w:tc>
          <w:tcPr>
            <w:tcW w:w="992" w:type="dxa"/>
            <w:vAlign w:val="center"/>
          </w:tcPr>
          <w:p w:rsidR="00E02C27" w:rsidRDefault="00E02C27">
            <w:pPr>
              <w:pStyle w:val="tabla"/>
            </w:pPr>
            <w:r>
              <w:t>MO</w:t>
            </w:r>
          </w:p>
        </w:tc>
        <w:tc>
          <w:tcPr>
            <w:tcW w:w="2835" w:type="dxa"/>
            <w:vAlign w:val="center"/>
          </w:tcPr>
          <w:p w:rsidR="00E02C27" w:rsidRDefault="00E02C27">
            <w:pPr>
              <w:pStyle w:val="tabla"/>
            </w:pPr>
            <w:r>
              <w:t>Modulo</w:t>
            </w:r>
          </w:p>
        </w:tc>
      </w:tr>
      <w:tr w:rsidR="00E02C27">
        <w:tc>
          <w:tcPr>
            <w:tcW w:w="992" w:type="dxa"/>
            <w:vAlign w:val="center"/>
          </w:tcPr>
          <w:p w:rsidR="00E02C27" w:rsidRDefault="00E02C27">
            <w:pPr>
              <w:pStyle w:val="tabla"/>
            </w:pPr>
            <w:r>
              <w:t>LO</w:t>
            </w:r>
          </w:p>
        </w:tc>
        <w:tc>
          <w:tcPr>
            <w:tcW w:w="2835" w:type="dxa"/>
            <w:vAlign w:val="center"/>
          </w:tcPr>
          <w:p w:rsidR="00E02C27" w:rsidRDefault="00E02C27">
            <w:pPr>
              <w:pStyle w:val="tabla"/>
            </w:pPr>
            <w:r>
              <w:t>Local</w:t>
            </w:r>
          </w:p>
        </w:tc>
      </w:tr>
      <w:tr w:rsidR="00E02C27">
        <w:tc>
          <w:tcPr>
            <w:tcW w:w="992" w:type="dxa"/>
            <w:vAlign w:val="center"/>
          </w:tcPr>
          <w:p w:rsidR="00E02C27" w:rsidRDefault="00E02C27">
            <w:pPr>
              <w:pStyle w:val="tabla"/>
            </w:pPr>
            <w:r>
              <w:t>NA</w:t>
            </w:r>
          </w:p>
        </w:tc>
        <w:tc>
          <w:tcPr>
            <w:tcW w:w="2835" w:type="dxa"/>
            <w:vAlign w:val="center"/>
          </w:tcPr>
          <w:p w:rsidR="00E02C27" w:rsidRDefault="00E02C27">
            <w:pPr>
              <w:pStyle w:val="tabla"/>
            </w:pPr>
            <w:r>
              <w:t>Nave</w:t>
            </w:r>
          </w:p>
        </w:tc>
      </w:tr>
      <w:tr w:rsidR="00E02C27">
        <w:tc>
          <w:tcPr>
            <w:tcW w:w="992" w:type="dxa"/>
            <w:vAlign w:val="center"/>
          </w:tcPr>
          <w:p w:rsidR="00E02C27" w:rsidRDefault="00E02C27">
            <w:pPr>
              <w:pStyle w:val="tabla"/>
            </w:pPr>
            <w:r>
              <w:t>OF</w:t>
            </w:r>
          </w:p>
        </w:tc>
        <w:tc>
          <w:tcPr>
            <w:tcW w:w="2835" w:type="dxa"/>
            <w:vAlign w:val="center"/>
          </w:tcPr>
          <w:p w:rsidR="00E02C27" w:rsidRDefault="00E02C27">
            <w:pPr>
              <w:pStyle w:val="tabla"/>
            </w:pPr>
            <w:r>
              <w:t>Oficina</w:t>
            </w:r>
          </w:p>
        </w:tc>
      </w:tr>
      <w:tr w:rsidR="00E02C27">
        <w:tc>
          <w:tcPr>
            <w:tcW w:w="992" w:type="dxa"/>
            <w:vAlign w:val="center"/>
          </w:tcPr>
          <w:p w:rsidR="00E02C27" w:rsidRDefault="00E02C27">
            <w:pPr>
              <w:pStyle w:val="tabla"/>
            </w:pPr>
            <w:r>
              <w:t>PR</w:t>
            </w:r>
          </w:p>
        </w:tc>
        <w:tc>
          <w:tcPr>
            <w:tcW w:w="2835" w:type="dxa"/>
            <w:vAlign w:val="center"/>
          </w:tcPr>
          <w:p w:rsidR="00E02C27" w:rsidRDefault="00E02C27">
            <w:pPr>
              <w:pStyle w:val="tabla"/>
            </w:pPr>
            <w:r>
              <w:t>Principal</w:t>
            </w:r>
          </w:p>
        </w:tc>
      </w:tr>
      <w:tr w:rsidR="00E02C27">
        <w:tc>
          <w:tcPr>
            <w:tcW w:w="992" w:type="dxa"/>
            <w:vAlign w:val="center"/>
          </w:tcPr>
          <w:p w:rsidR="00E02C27" w:rsidRDefault="00E02C27">
            <w:pPr>
              <w:pStyle w:val="tabla"/>
            </w:pPr>
            <w:r>
              <w:t>PT</w:t>
            </w:r>
          </w:p>
        </w:tc>
        <w:tc>
          <w:tcPr>
            <w:tcW w:w="2835" w:type="dxa"/>
            <w:vAlign w:val="center"/>
          </w:tcPr>
          <w:p w:rsidR="00E02C27" w:rsidRDefault="00E02C27">
            <w:pPr>
              <w:pStyle w:val="tabla"/>
            </w:pPr>
            <w:r>
              <w:t>Puesto</w:t>
            </w:r>
          </w:p>
        </w:tc>
      </w:tr>
      <w:tr w:rsidR="00E02C27">
        <w:tc>
          <w:tcPr>
            <w:tcW w:w="992" w:type="dxa"/>
            <w:vAlign w:val="center"/>
          </w:tcPr>
          <w:p w:rsidR="00E02C27" w:rsidRDefault="00E02C27">
            <w:pPr>
              <w:pStyle w:val="tabla"/>
            </w:pPr>
            <w:r>
              <w:t>SA</w:t>
            </w:r>
          </w:p>
        </w:tc>
        <w:tc>
          <w:tcPr>
            <w:tcW w:w="2835" w:type="dxa"/>
            <w:vAlign w:val="center"/>
          </w:tcPr>
          <w:p w:rsidR="00E02C27" w:rsidRDefault="00E02C27">
            <w:pPr>
              <w:pStyle w:val="tabla"/>
            </w:pPr>
            <w:r>
              <w:t>Sobreático</w:t>
            </w:r>
          </w:p>
        </w:tc>
      </w:tr>
      <w:tr w:rsidR="00E02C27">
        <w:tc>
          <w:tcPr>
            <w:tcW w:w="992" w:type="dxa"/>
            <w:vAlign w:val="center"/>
          </w:tcPr>
          <w:p w:rsidR="00E02C27" w:rsidRDefault="00E02C27">
            <w:pPr>
              <w:pStyle w:val="tabla"/>
            </w:pPr>
            <w:r>
              <w:t>SE</w:t>
            </w:r>
          </w:p>
        </w:tc>
        <w:tc>
          <w:tcPr>
            <w:tcW w:w="2835" w:type="dxa"/>
            <w:vAlign w:val="center"/>
          </w:tcPr>
          <w:p w:rsidR="00E02C27" w:rsidRDefault="00E02C27">
            <w:pPr>
              <w:pStyle w:val="tabla"/>
            </w:pPr>
            <w:r>
              <w:t>Semisótano</w:t>
            </w:r>
          </w:p>
        </w:tc>
      </w:tr>
      <w:tr w:rsidR="00E02C27">
        <w:tc>
          <w:tcPr>
            <w:tcW w:w="992" w:type="dxa"/>
            <w:vAlign w:val="center"/>
          </w:tcPr>
          <w:p w:rsidR="00E02C27" w:rsidRDefault="00E02C27">
            <w:pPr>
              <w:pStyle w:val="tabla"/>
            </w:pPr>
            <w:r>
              <w:t>SO</w:t>
            </w:r>
          </w:p>
        </w:tc>
        <w:tc>
          <w:tcPr>
            <w:tcW w:w="2835" w:type="dxa"/>
            <w:vAlign w:val="center"/>
          </w:tcPr>
          <w:p w:rsidR="00E02C27" w:rsidRDefault="00E02C27">
            <w:pPr>
              <w:pStyle w:val="tabla"/>
            </w:pPr>
            <w:r>
              <w:t>Sótano</w:t>
            </w:r>
          </w:p>
        </w:tc>
      </w:tr>
      <w:tr w:rsidR="00E02C27">
        <w:tc>
          <w:tcPr>
            <w:tcW w:w="992" w:type="dxa"/>
            <w:vAlign w:val="center"/>
          </w:tcPr>
          <w:p w:rsidR="00E02C27" w:rsidRDefault="00E02C27">
            <w:pPr>
              <w:pStyle w:val="tabla"/>
            </w:pPr>
            <w:r>
              <w:t>SS</w:t>
            </w:r>
          </w:p>
        </w:tc>
        <w:tc>
          <w:tcPr>
            <w:tcW w:w="2835" w:type="dxa"/>
            <w:vAlign w:val="center"/>
          </w:tcPr>
          <w:p w:rsidR="00E02C27" w:rsidRDefault="00E02C27">
            <w:pPr>
              <w:pStyle w:val="tabla"/>
            </w:pPr>
            <w:r>
              <w:t>Semisótano</w:t>
            </w:r>
          </w:p>
        </w:tc>
      </w:tr>
      <w:tr w:rsidR="00E02C27">
        <w:tc>
          <w:tcPr>
            <w:tcW w:w="992" w:type="dxa"/>
            <w:vAlign w:val="center"/>
          </w:tcPr>
          <w:p w:rsidR="00E02C27" w:rsidRDefault="00E02C27">
            <w:pPr>
              <w:pStyle w:val="tabla"/>
            </w:pPr>
            <w:r>
              <w:t>S1</w:t>
            </w:r>
          </w:p>
        </w:tc>
        <w:tc>
          <w:tcPr>
            <w:tcW w:w="2835" w:type="dxa"/>
            <w:vAlign w:val="center"/>
          </w:tcPr>
          <w:p w:rsidR="00E02C27" w:rsidRDefault="00E02C27">
            <w:pPr>
              <w:pStyle w:val="tabla"/>
            </w:pPr>
            <w:r>
              <w:t>Sótano 1</w:t>
            </w:r>
          </w:p>
        </w:tc>
      </w:tr>
      <w:tr w:rsidR="00E02C27">
        <w:tc>
          <w:tcPr>
            <w:tcW w:w="992" w:type="dxa"/>
            <w:vAlign w:val="center"/>
          </w:tcPr>
          <w:p w:rsidR="00E02C27" w:rsidRDefault="00E02C27">
            <w:pPr>
              <w:pStyle w:val="tabla"/>
              <w:rPr>
                <w:lang w:val="en-GB"/>
              </w:rPr>
            </w:pPr>
            <w:r>
              <w:rPr>
                <w:lang w:val="en-GB"/>
              </w:rPr>
              <w:t>S2</w:t>
            </w:r>
          </w:p>
        </w:tc>
        <w:tc>
          <w:tcPr>
            <w:tcW w:w="2835" w:type="dxa"/>
            <w:vAlign w:val="center"/>
          </w:tcPr>
          <w:p w:rsidR="00E02C27" w:rsidRDefault="00E02C27">
            <w:pPr>
              <w:pStyle w:val="tabla"/>
              <w:rPr>
                <w:lang w:val="en-GB"/>
              </w:rPr>
            </w:pPr>
            <w:r>
              <w:rPr>
                <w:lang w:val="en-GB"/>
              </w:rPr>
              <w:t>Sótano 2</w:t>
            </w:r>
          </w:p>
        </w:tc>
      </w:tr>
      <w:tr w:rsidR="00E02C27">
        <w:tc>
          <w:tcPr>
            <w:tcW w:w="992" w:type="dxa"/>
            <w:vAlign w:val="center"/>
          </w:tcPr>
          <w:p w:rsidR="00E02C27" w:rsidRDefault="00E02C27">
            <w:pPr>
              <w:pStyle w:val="tabla"/>
              <w:rPr>
                <w:lang w:val="en-GB"/>
              </w:rPr>
            </w:pPr>
            <w:r>
              <w:rPr>
                <w:lang w:val="en-GB"/>
              </w:rPr>
              <w:t>S3</w:t>
            </w:r>
          </w:p>
        </w:tc>
        <w:tc>
          <w:tcPr>
            <w:tcW w:w="2835" w:type="dxa"/>
            <w:vAlign w:val="center"/>
          </w:tcPr>
          <w:p w:rsidR="00E02C27" w:rsidRDefault="00E02C27">
            <w:pPr>
              <w:pStyle w:val="tabla"/>
            </w:pPr>
            <w:r>
              <w:t>Sótano 3</w:t>
            </w:r>
          </w:p>
        </w:tc>
      </w:tr>
      <w:tr w:rsidR="00E02C27">
        <w:tc>
          <w:tcPr>
            <w:tcW w:w="992" w:type="dxa"/>
            <w:vAlign w:val="center"/>
          </w:tcPr>
          <w:p w:rsidR="00E02C27" w:rsidRDefault="00E02C27">
            <w:pPr>
              <w:pStyle w:val="tabla"/>
            </w:pPr>
            <w:r>
              <w:t>S4</w:t>
            </w:r>
          </w:p>
        </w:tc>
        <w:tc>
          <w:tcPr>
            <w:tcW w:w="2835" w:type="dxa"/>
            <w:vAlign w:val="center"/>
          </w:tcPr>
          <w:p w:rsidR="00E02C27" w:rsidRDefault="00E02C27">
            <w:pPr>
              <w:pStyle w:val="tabla"/>
            </w:pPr>
            <w:r>
              <w:t>Sótano 4</w:t>
            </w:r>
          </w:p>
        </w:tc>
      </w:tr>
      <w:tr w:rsidR="00E02C27">
        <w:tc>
          <w:tcPr>
            <w:tcW w:w="992" w:type="dxa"/>
            <w:vAlign w:val="center"/>
          </w:tcPr>
          <w:p w:rsidR="00E02C27" w:rsidRDefault="00E02C27">
            <w:pPr>
              <w:pStyle w:val="tabla"/>
              <w:rPr>
                <w:lang w:val="en-GB"/>
              </w:rPr>
            </w:pPr>
            <w:r>
              <w:rPr>
                <w:lang w:val="en-GB"/>
              </w:rPr>
              <w:t>S5</w:t>
            </w:r>
          </w:p>
        </w:tc>
        <w:tc>
          <w:tcPr>
            <w:tcW w:w="2835" w:type="dxa"/>
            <w:vAlign w:val="center"/>
          </w:tcPr>
          <w:p w:rsidR="00E02C27" w:rsidRDefault="00E02C27">
            <w:pPr>
              <w:pStyle w:val="tabla"/>
              <w:rPr>
                <w:lang w:val="en-GB"/>
              </w:rPr>
            </w:pPr>
            <w:r>
              <w:rPr>
                <w:lang w:val="en-GB"/>
              </w:rPr>
              <w:t>Sótano 5</w:t>
            </w:r>
          </w:p>
        </w:tc>
      </w:tr>
      <w:tr w:rsidR="00E02C27">
        <w:tc>
          <w:tcPr>
            <w:tcW w:w="992" w:type="dxa"/>
            <w:vAlign w:val="center"/>
          </w:tcPr>
          <w:p w:rsidR="00E02C27" w:rsidRDefault="00E02C27">
            <w:pPr>
              <w:pStyle w:val="tabla"/>
              <w:rPr>
                <w:lang w:val="en-GB"/>
              </w:rPr>
            </w:pPr>
            <w:r>
              <w:rPr>
                <w:lang w:val="en-GB"/>
              </w:rPr>
              <w:t>S6</w:t>
            </w:r>
          </w:p>
        </w:tc>
        <w:tc>
          <w:tcPr>
            <w:tcW w:w="2835" w:type="dxa"/>
            <w:vAlign w:val="center"/>
          </w:tcPr>
          <w:p w:rsidR="00E02C27" w:rsidRDefault="00E02C27">
            <w:pPr>
              <w:pStyle w:val="tabla"/>
            </w:pPr>
            <w:r>
              <w:t>Sótano 6</w:t>
            </w:r>
          </w:p>
        </w:tc>
      </w:tr>
      <w:tr w:rsidR="00E02C27">
        <w:tc>
          <w:tcPr>
            <w:tcW w:w="992" w:type="dxa"/>
            <w:vAlign w:val="center"/>
          </w:tcPr>
          <w:p w:rsidR="00E02C27" w:rsidRDefault="00E02C27">
            <w:pPr>
              <w:pStyle w:val="tabla"/>
            </w:pPr>
            <w:r>
              <w:t>S7</w:t>
            </w:r>
          </w:p>
        </w:tc>
        <w:tc>
          <w:tcPr>
            <w:tcW w:w="2835" w:type="dxa"/>
            <w:vAlign w:val="center"/>
          </w:tcPr>
          <w:p w:rsidR="00E02C27" w:rsidRDefault="00E02C27">
            <w:pPr>
              <w:pStyle w:val="tabla"/>
            </w:pPr>
            <w:r>
              <w:t>Sótano 7</w:t>
            </w:r>
          </w:p>
        </w:tc>
      </w:tr>
      <w:tr w:rsidR="00E02C27">
        <w:tc>
          <w:tcPr>
            <w:tcW w:w="992" w:type="dxa"/>
            <w:vAlign w:val="center"/>
          </w:tcPr>
          <w:p w:rsidR="00E02C27" w:rsidRDefault="00E02C27">
            <w:pPr>
              <w:pStyle w:val="tabla"/>
              <w:rPr>
                <w:lang w:val="en-GB"/>
              </w:rPr>
            </w:pPr>
            <w:r>
              <w:rPr>
                <w:lang w:val="en-GB"/>
              </w:rPr>
              <w:t>S8</w:t>
            </w:r>
          </w:p>
        </w:tc>
        <w:tc>
          <w:tcPr>
            <w:tcW w:w="2835" w:type="dxa"/>
            <w:vAlign w:val="center"/>
          </w:tcPr>
          <w:p w:rsidR="00E02C27" w:rsidRDefault="00E02C27">
            <w:pPr>
              <w:pStyle w:val="tabla"/>
              <w:rPr>
                <w:lang w:val="en-GB"/>
              </w:rPr>
            </w:pPr>
            <w:r>
              <w:rPr>
                <w:lang w:val="en-GB"/>
              </w:rPr>
              <w:t>Sótano 8</w:t>
            </w:r>
          </w:p>
        </w:tc>
      </w:tr>
      <w:tr w:rsidR="00E02C27">
        <w:tc>
          <w:tcPr>
            <w:tcW w:w="992" w:type="dxa"/>
            <w:vAlign w:val="center"/>
          </w:tcPr>
          <w:p w:rsidR="00E02C27" w:rsidRDefault="00E02C27">
            <w:pPr>
              <w:pStyle w:val="tabla"/>
              <w:rPr>
                <w:lang w:val="en-GB"/>
              </w:rPr>
            </w:pPr>
            <w:r>
              <w:rPr>
                <w:lang w:val="en-GB"/>
              </w:rPr>
              <w:t>S9</w:t>
            </w:r>
          </w:p>
        </w:tc>
        <w:tc>
          <w:tcPr>
            <w:tcW w:w="2835" w:type="dxa"/>
            <w:vAlign w:val="center"/>
          </w:tcPr>
          <w:p w:rsidR="00E02C27" w:rsidRDefault="00E02C27">
            <w:pPr>
              <w:pStyle w:val="tabla"/>
            </w:pPr>
            <w:r>
              <w:t>Sótano 9</w:t>
            </w:r>
          </w:p>
        </w:tc>
      </w:tr>
      <w:tr w:rsidR="00E02C27">
        <w:tc>
          <w:tcPr>
            <w:tcW w:w="992" w:type="dxa"/>
            <w:vAlign w:val="center"/>
          </w:tcPr>
          <w:p w:rsidR="00E02C27" w:rsidRDefault="00E02C27">
            <w:pPr>
              <w:pStyle w:val="tabla"/>
            </w:pPr>
            <w:r>
              <w:t>TE</w:t>
            </w:r>
          </w:p>
        </w:tc>
        <w:tc>
          <w:tcPr>
            <w:tcW w:w="2835" w:type="dxa"/>
            <w:vAlign w:val="center"/>
          </w:tcPr>
          <w:p w:rsidR="00E02C27" w:rsidRDefault="00E02C27">
            <w:pPr>
              <w:pStyle w:val="tabla"/>
            </w:pPr>
            <w:r>
              <w:t>Terraza</w:t>
            </w:r>
          </w:p>
        </w:tc>
      </w:tr>
      <w:tr w:rsidR="00E02C27">
        <w:tc>
          <w:tcPr>
            <w:tcW w:w="992" w:type="dxa"/>
            <w:vAlign w:val="center"/>
          </w:tcPr>
          <w:p w:rsidR="00E02C27" w:rsidRDefault="00E02C27">
            <w:pPr>
              <w:pStyle w:val="tabla"/>
            </w:pPr>
            <w:r>
              <w:t>TI</w:t>
            </w:r>
          </w:p>
        </w:tc>
        <w:tc>
          <w:tcPr>
            <w:tcW w:w="2835" w:type="dxa"/>
            <w:vAlign w:val="center"/>
          </w:tcPr>
          <w:p w:rsidR="00E02C27" w:rsidRDefault="00E02C27">
            <w:pPr>
              <w:pStyle w:val="tabla"/>
            </w:pPr>
            <w:r>
              <w:t>Tienda</w:t>
            </w:r>
          </w:p>
        </w:tc>
      </w:tr>
      <w:tr w:rsidR="00E02C27">
        <w:tc>
          <w:tcPr>
            <w:tcW w:w="992" w:type="dxa"/>
            <w:vAlign w:val="center"/>
          </w:tcPr>
          <w:p w:rsidR="00E02C27" w:rsidRDefault="00E02C27">
            <w:pPr>
              <w:pStyle w:val="tabla"/>
            </w:pPr>
            <w:r>
              <w:t>X1</w:t>
            </w:r>
          </w:p>
        </w:tc>
        <w:tc>
          <w:tcPr>
            <w:tcW w:w="2835" w:type="dxa"/>
            <w:vAlign w:val="center"/>
          </w:tcPr>
          <w:p w:rsidR="00E02C27" w:rsidRDefault="00E02C27">
            <w:pPr>
              <w:pStyle w:val="tabla"/>
            </w:pPr>
            <w:r>
              <w:t>Semisótano 1</w:t>
            </w:r>
          </w:p>
        </w:tc>
      </w:tr>
      <w:tr w:rsidR="00E02C27">
        <w:tc>
          <w:tcPr>
            <w:tcW w:w="992" w:type="dxa"/>
            <w:vAlign w:val="center"/>
          </w:tcPr>
          <w:p w:rsidR="00E02C27" w:rsidRDefault="00E02C27">
            <w:pPr>
              <w:pStyle w:val="tabla"/>
            </w:pPr>
            <w:r>
              <w:t>X2</w:t>
            </w:r>
          </w:p>
        </w:tc>
        <w:tc>
          <w:tcPr>
            <w:tcW w:w="2835" w:type="dxa"/>
            <w:vAlign w:val="center"/>
          </w:tcPr>
          <w:p w:rsidR="00E02C27" w:rsidRDefault="00E02C27">
            <w:pPr>
              <w:pStyle w:val="tabla"/>
            </w:pPr>
            <w:r>
              <w:t>Semisótano 2</w:t>
            </w:r>
          </w:p>
        </w:tc>
      </w:tr>
      <w:tr w:rsidR="00E02C27">
        <w:tc>
          <w:tcPr>
            <w:tcW w:w="992" w:type="dxa"/>
            <w:vAlign w:val="center"/>
          </w:tcPr>
          <w:p w:rsidR="00E02C27" w:rsidRDefault="00E02C27">
            <w:pPr>
              <w:pStyle w:val="tabla"/>
            </w:pPr>
            <w:r>
              <w:t>X3</w:t>
            </w:r>
          </w:p>
        </w:tc>
        <w:tc>
          <w:tcPr>
            <w:tcW w:w="2835" w:type="dxa"/>
            <w:vAlign w:val="center"/>
          </w:tcPr>
          <w:p w:rsidR="00E02C27" w:rsidRDefault="00E02C27">
            <w:pPr>
              <w:pStyle w:val="tabla"/>
            </w:pPr>
            <w:r>
              <w:t>Semisótano 3</w:t>
            </w:r>
          </w:p>
        </w:tc>
      </w:tr>
      <w:tr w:rsidR="00E02C27">
        <w:tc>
          <w:tcPr>
            <w:tcW w:w="992" w:type="dxa"/>
            <w:vAlign w:val="center"/>
          </w:tcPr>
          <w:p w:rsidR="00E02C27" w:rsidRDefault="00E02C27">
            <w:pPr>
              <w:pStyle w:val="tabla"/>
            </w:pPr>
            <w:r>
              <w:t>X4</w:t>
            </w:r>
          </w:p>
        </w:tc>
        <w:tc>
          <w:tcPr>
            <w:tcW w:w="2835" w:type="dxa"/>
            <w:vAlign w:val="center"/>
          </w:tcPr>
          <w:p w:rsidR="00E02C27" w:rsidRDefault="00E02C27">
            <w:pPr>
              <w:pStyle w:val="tabla"/>
            </w:pPr>
            <w:r>
              <w:t>Semisótano 4</w:t>
            </w:r>
          </w:p>
        </w:tc>
      </w:tr>
      <w:tr w:rsidR="00E02C27">
        <w:tc>
          <w:tcPr>
            <w:tcW w:w="992" w:type="dxa"/>
            <w:vAlign w:val="center"/>
          </w:tcPr>
          <w:p w:rsidR="00E02C27" w:rsidRDefault="00E02C27">
            <w:pPr>
              <w:pStyle w:val="tabla"/>
            </w:pPr>
            <w:r>
              <w:t>X5</w:t>
            </w:r>
          </w:p>
        </w:tc>
        <w:tc>
          <w:tcPr>
            <w:tcW w:w="2835" w:type="dxa"/>
            <w:vAlign w:val="center"/>
          </w:tcPr>
          <w:p w:rsidR="00E02C27" w:rsidRDefault="00E02C27">
            <w:pPr>
              <w:pStyle w:val="tabla"/>
            </w:pPr>
            <w:r>
              <w:t>Semisótano 5</w:t>
            </w:r>
          </w:p>
        </w:tc>
      </w:tr>
      <w:tr w:rsidR="00E02C27">
        <w:tc>
          <w:tcPr>
            <w:tcW w:w="992" w:type="dxa"/>
            <w:vAlign w:val="center"/>
          </w:tcPr>
          <w:p w:rsidR="00E02C27" w:rsidRDefault="00E02C27">
            <w:pPr>
              <w:pStyle w:val="tabla"/>
            </w:pPr>
            <w:r>
              <w:t>X6</w:t>
            </w:r>
          </w:p>
        </w:tc>
        <w:tc>
          <w:tcPr>
            <w:tcW w:w="2835" w:type="dxa"/>
            <w:vAlign w:val="center"/>
          </w:tcPr>
          <w:p w:rsidR="00E02C27" w:rsidRDefault="00E02C27">
            <w:pPr>
              <w:pStyle w:val="tabla"/>
            </w:pPr>
            <w:r>
              <w:t>Semisótano 6</w:t>
            </w:r>
          </w:p>
        </w:tc>
      </w:tr>
      <w:tr w:rsidR="00E02C27">
        <w:tc>
          <w:tcPr>
            <w:tcW w:w="992" w:type="dxa"/>
            <w:vAlign w:val="center"/>
          </w:tcPr>
          <w:p w:rsidR="00E02C27" w:rsidRDefault="00E02C27">
            <w:pPr>
              <w:pStyle w:val="tabla"/>
            </w:pPr>
            <w:r>
              <w:t>X7</w:t>
            </w:r>
          </w:p>
        </w:tc>
        <w:tc>
          <w:tcPr>
            <w:tcW w:w="2835" w:type="dxa"/>
            <w:vAlign w:val="center"/>
          </w:tcPr>
          <w:p w:rsidR="00E02C27" w:rsidRDefault="00E02C27">
            <w:pPr>
              <w:pStyle w:val="tabla"/>
            </w:pPr>
            <w:r>
              <w:t>Semisótano 7</w:t>
            </w:r>
          </w:p>
        </w:tc>
      </w:tr>
      <w:tr w:rsidR="00E02C27">
        <w:tc>
          <w:tcPr>
            <w:tcW w:w="992" w:type="dxa"/>
            <w:vAlign w:val="center"/>
          </w:tcPr>
          <w:p w:rsidR="00E02C27" w:rsidRDefault="00E02C27">
            <w:pPr>
              <w:pStyle w:val="tabla"/>
            </w:pPr>
            <w:r>
              <w:t>X8</w:t>
            </w:r>
          </w:p>
        </w:tc>
        <w:tc>
          <w:tcPr>
            <w:tcW w:w="2835" w:type="dxa"/>
            <w:vAlign w:val="center"/>
          </w:tcPr>
          <w:p w:rsidR="00E02C27" w:rsidRDefault="00E02C27">
            <w:pPr>
              <w:pStyle w:val="tabla"/>
            </w:pPr>
            <w:r>
              <w:t>Semisótano 8</w:t>
            </w:r>
          </w:p>
        </w:tc>
      </w:tr>
      <w:tr w:rsidR="00E02C27">
        <w:tc>
          <w:tcPr>
            <w:tcW w:w="992" w:type="dxa"/>
            <w:vAlign w:val="center"/>
          </w:tcPr>
          <w:p w:rsidR="00E02C27" w:rsidRDefault="00E02C27">
            <w:pPr>
              <w:pStyle w:val="tabla"/>
            </w:pPr>
            <w:r>
              <w:t>X9</w:t>
            </w:r>
          </w:p>
        </w:tc>
        <w:tc>
          <w:tcPr>
            <w:tcW w:w="2835" w:type="dxa"/>
            <w:vAlign w:val="center"/>
          </w:tcPr>
          <w:p w:rsidR="00E02C27" w:rsidRDefault="00E02C27">
            <w:pPr>
              <w:pStyle w:val="tabla"/>
            </w:pPr>
            <w:r>
              <w:t>Semisótano 9</w:t>
            </w:r>
          </w:p>
        </w:tc>
      </w:tr>
    </w:tbl>
    <w:p w:rsidR="00E02C27" w:rsidRDefault="00E02C27">
      <w:pPr>
        <w:pStyle w:val="Textoindependiente"/>
      </w:pPr>
    </w:p>
    <w:p w:rsidR="00E02C27" w:rsidRDefault="00E02C27">
      <w:pPr>
        <w:pStyle w:val="PORTADALOGO"/>
        <w:numPr>
          <w:ilvl w:val="0"/>
          <w:numId w:val="65"/>
        </w:numPr>
        <w:spacing w:after="120"/>
        <w:rPr>
          <w:rFonts w:ascii="Arial" w:hAnsi="Arial" w:cs="Arial"/>
        </w:rPr>
      </w:pPr>
      <w:r>
        <w:rPr>
          <w:rFonts w:ascii="Arial" w:hAnsi="Arial" w:cs="Arial"/>
          <w:u w:val="single"/>
        </w:rPr>
        <w:t>Mano 1 (4 posiciones) y Mano 2 (4 posiciones).</w:t>
      </w:r>
      <w:r>
        <w:rPr>
          <w:rFonts w:ascii="Arial" w:hAnsi="Arial" w:cs="Arial"/>
        </w:rPr>
        <w:t xml:space="preserve"> Identifican la situación de un domicilio dentro de una planta. </w:t>
      </w:r>
    </w:p>
    <w:p w:rsidR="00E02C27" w:rsidRDefault="00E02C27">
      <w:pPr>
        <w:pStyle w:val="PORTADALOGO"/>
        <w:spacing w:after="120"/>
        <w:ind w:left="709"/>
        <w:rPr>
          <w:rFonts w:ascii="Arial" w:hAnsi="Arial" w:cs="Arial"/>
        </w:rPr>
      </w:pPr>
      <w:r>
        <w:rPr>
          <w:rFonts w:ascii="Arial" w:hAnsi="Arial" w:cs="Arial"/>
        </w:rPr>
        <w:t xml:space="preserve">-Obligatoriedad: es un campo </w:t>
      </w:r>
      <w:r>
        <w:rPr>
          <w:rFonts w:ascii="Arial" w:hAnsi="Arial" w:cs="Arial"/>
          <w:b/>
          <w:bCs/>
        </w:rPr>
        <w:t>opcional</w:t>
      </w:r>
      <w:r>
        <w:rPr>
          <w:rFonts w:ascii="Arial" w:hAnsi="Arial" w:cs="Arial"/>
        </w:rPr>
        <w:t>.</w:t>
      </w:r>
    </w:p>
    <w:p w:rsidR="00E02C27" w:rsidRDefault="00E02C27">
      <w:pPr>
        <w:pStyle w:val="PORTADALOGO"/>
        <w:spacing w:after="120"/>
        <w:ind w:left="709"/>
      </w:pPr>
      <w:r>
        <w:rPr>
          <w:rFonts w:ascii="Arial" w:hAnsi="Arial" w:cs="Arial"/>
        </w:rPr>
        <w:t>-Formato: estos campos pueden contener cualquier valor alfanumérico.</w:t>
      </w:r>
      <w:r>
        <w:rPr>
          <w:b/>
          <w:bCs/>
          <w:sz w:val="22"/>
        </w:rPr>
        <w:t xml:space="preserve"> </w:t>
      </w:r>
    </w:p>
    <w:p w:rsidR="00E02C27" w:rsidRDefault="00E02C27">
      <w:pPr>
        <w:pStyle w:val="PORTADALOGO"/>
        <w:spacing w:after="120"/>
        <w:ind w:left="709"/>
      </w:pPr>
      <w:r>
        <w:rPr>
          <w:rFonts w:ascii="Arial" w:hAnsi="Arial" w:cs="Arial"/>
        </w:rPr>
        <w:t>Para los casos más habituales existe una codificación preestablecida, que debe ser utilizada:</w:t>
      </w:r>
    </w:p>
    <w:p w:rsidR="00E02C27" w:rsidRDefault="00E02C27">
      <w:pPr>
        <w:pStyle w:val="Textoindependiente2"/>
        <w:ind w:left="708"/>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835"/>
      </w:tblGrid>
      <w:tr w:rsidR="00E02C27">
        <w:tc>
          <w:tcPr>
            <w:tcW w:w="1134" w:type="dxa"/>
            <w:vAlign w:val="center"/>
          </w:tcPr>
          <w:p w:rsidR="00E02C27" w:rsidRDefault="00E02C27">
            <w:pPr>
              <w:pStyle w:val="tabla"/>
            </w:pPr>
            <w:r>
              <w:t xml:space="preserve">APTO </w:t>
            </w:r>
          </w:p>
        </w:tc>
        <w:tc>
          <w:tcPr>
            <w:tcW w:w="2835" w:type="dxa"/>
            <w:vAlign w:val="center"/>
          </w:tcPr>
          <w:p w:rsidR="00E02C27" w:rsidRDefault="00E02C27">
            <w:pPr>
              <w:pStyle w:val="tabla"/>
            </w:pPr>
            <w:r>
              <w:t>Apartamento</w:t>
            </w:r>
          </w:p>
        </w:tc>
      </w:tr>
      <w:tr w:rsidR="00E02C27">
        <w:tc>
          <w:tcPr>
            <w:tcW w:w="1134" w:type="dxa"/>
            <w:vAlign w:val="center"/>
          </w:tcPr>
          <w:p w:rsidR="00E02C27" w:rsidRDefault="00E02C27">
            <w:pPr>
              <w:pStyle w:val="tabla"/>
            </w:pPr>
            <w:r>
              <w:t>CTRO</w:t>
            </w:r>
          </w:p>
        </w:tc>
        <w:tc>
          <w:tcPr>
            <w:tcW w:w="2835" w:type="dxa"/>
            <w:vAlign w:val="center"/>
          </w:tcPr>
          <w:p w:rsidR="00E02C27" w:rsidRDefault="00E02C27">
            <w:pPr>
              <w:pStyle w:val="tabla"/>
            </w:pPr>
            <w:r>
              <w:t>Centro</w:t>
            </w:r>
          </w:p>
        </w:tc>
      </w:tr>
      <w:tr w:rsidR="00E02C27">
        <w:tc>
          <w:tcPr>
            <w:tcW w:w="1134" w:type="dxa"/>
            <w:vAlign w:val="center"/>
          </w:tcPr>
          <w:p w:rsidR="00E02C27" w:rsidRDefault="00E02C27">
            <w:pPr>
              <w:pStyle w:val="tabla"/>
            </w:pPr>
            <w:r>
              <w:t>DCHA</w:t>
            </w:r>
          </w:p>
        </w:tc>
        <w:tc>
          <w:tcPr>
            <w:tcW w:w="2835" w:type="dxa"/>
            <w:vAlign w:val="center"/>
          </w:tcPr>
          <w:p w:rsidR="00E02C27" w:rsidRDefault="00E02C27">
            <w:pPr>
              <w:pStyle w:val="tabla"/>
            </w:pPr>
            <w:r>
              <w:t>Derecha</w:t>
            </w:r>
          </w:p>
        </w:tc>
      </w:tr>
      <w:tr w:rsidR="00E02C27">
        <w:tc>
          <w:tcPr>
            <w:tcW w:w="1134" w:type="dxa"/>
            <w:vAlign w:val="center"/>
          </w:tcPr>
          <w:p w:rsidR="00E02C27" w:rsidRDefault="00E02C27">
            <w:pPr>
              <w:pStyle w:val="tabla"/>
            </w:pPr>
            <w:r>
              <w:t>DPCH</w:t>
            </w:r>
          </w:p>
        </w:tc>
        <w:tc>
          <w:tcPr>
            <w:tcW w:w="2835" w:type="dxa"/>
            <w:vAlign w:val="center"/>
          </w:tcPr>
          <w:p w:rsidR="00E02C27" w:rsidRDefault="00E02C27">
            <w:pPr>
              <w:pStyle w:val="tabla"/>
            </w:pPr>
            <w:r>
              <w:t>Despacho</w:t>
            </w:r>
          </w:p>
        </w:tc>
      </w:tr>
      <w:tr w:rsidR="00E02C27">
        <w:tc>
          <w:tcPr>
            <w:tcW w:w="1134" w:type="dxa"/>
            <w:vAlign w:val="center"/>
          </w:tcPr>
          <w:p w:rsidR="00E02C27" w:rsidRDefault="00E02C27">
            <w:pPr>
              <w:pStyle w:val="tabla"/>
            </w:pPr>
            <w:r>
              <w:t>EXT.</w:t>
            </w:r>
          </w:p>
        </w:tc>
        <w:tc>
          <w:tcPr>
            <w:tcW w:w="2835" w:type="dxa"/>
            <w:vAlign w:val="center"/>
          </w:tcPr>
          <w:p w:rsidR="00E02C27" w:rsidRDefault="00E02C27">
            <w:pPr>
              <w:pStyle w:val="tabla"/>
            </w:pPr>
            <w:r>
              <w:t>Exterior</w:t>
            </w:r>
          </w:p>
        </w:tc>
      </w:tr>
      <w:tr w:rsidR="00E02C27">
        <w:tc>
          <w:tcPr>
            <w:tcW w:w="1134" w:type="dxa"/>
            <w:vAlign w:val="center"/>
          </w:tcPr>
          <w:p w:rsidR="00E02C27" w:rsidRDefault="00E02C27">
            <w:pPr>
              <w:pStyle w:val="tabla"/>
            </w:pPr>
            <w:r>
              <w:t>HABI</w:t>
            </w:r>
          </w:p>
        </w:tc>
        <w:tc>
          <w:tcPr>
            <w:tcW w:w="2835" w:type="dxa"/>
            <w:vAlign w:val="center"/>
          </w:tcPr>
          <w:p w:rsidR="00E02C27" w:rsidRDefault="00E02C27">
            <w:pPr>
              <w:pStyle w:val="tabla"/>
            </w:pPr>
            <w:r>
              <w:t>Habitación</w:t>
            </w:r>
          </w:p>
        </w:tc>
      </w:tr>
      <w:tr w:rsidR="00E02C27">
        <w:tc>
          <w:tcPr>
            <w:tcW w:w="1134" w:type="dxa"/>
            <w:vAlign w:val="center"/>
          </w:tcPr>
          <w:p w:rsidR="00E02C27" w:rsidRDefault="00E02C27">
            <w:pPr>
              <w:pStyle w:val="tabla"/>
            </w:pPr>
            <w:r>
              <w:t>INT.</w:t>
            </w:r>
          </w:p>
        </w:tc>
        <w:tc>
          <w:tcPr>
            <w:tcW w:w="2835" w:type="dxa"/>
            <w:vAlign w:val="center"/>
          </w:tcPr>
          <w:p w:rsidR="00E02C27" w:rsidRDefault="00E02C27">
            <w:pPr>
              <w:pStyle w:val="tabla"/>
            </w:pPr>
            <w:r>
              <w:t>Interior</w:t>
            </w:r>
          </w:p>
        </w:tc>
      </w:tr>
      <w:tr w:rsidR="00E02C27">
        <w:tc>
          <w:tcPr>
            <w:tcW w:w="1134" w:type="dxa"/>
            <w:vAlign w:val="center"/>
          </w:tcPr>
          <w:p w:rsidR="00E02C27" w:rsidRDefault="00E02C27">
            <w:pPr>
              <w:pStyle w:val="tabla"/>
            </w:pPr>
            <w:r>
              <w:t>IZDA</w:t>
            </w:r>
          </w:p>
        </w:tc>
        <w:tc>
          <w:tcPr>
            <w:tcW w:w="2835" w:type="dxa"/>
            <w:vAlign w:val="center"/>
          </w:tcPr>
          <w:p w:rsidR="00E02C27" w:rsidRDefault="00E02C27">
            <w:pPr>
              <w:pStyle w:val="tabla"/>
            </w:pPr>
            <w:r>
              <w:t>Izquierda</w:t>
            </w:r>
          </w:p>
        </w:tc>
      </w:tr>
      <w:tr w:rsidR="00E02C27">
        <w:tc>
          <w:tcPr>
            <w:tcW w:w="1134" w:type="dxa"/>
            <w:vAlign w:val="center"/>
          </w:tcPr>
          <w:p w:rsidR="00E02C27" w:rsidRDefault="00E02C27">
            <w:pPr>
              <w:pStyle w:val="tabla"/>
            </w:pPr>
            <w:r>
              <w:t>LOCL</w:t>
            </w:r>
          </w:p>
        </w:tc>
        <w:tc>
          <w:tcPr>
            <w:tcW w:w="2835" w:type="dxa"/>
            <w:vAlign w:val="center"/>
          </w:tcPr>
          <w:p w:rsidR="00E02C27" w:rsidRDefault="00E02C27">
            <w:pPr>
              <w:pStyle w:val="tabla"/>
            </w:pPr>
            <w:r>
              <w:t>Local</w:t>
            </w:r>
          </w:p>
        </w:tc>
      </w:tr>
      <w:tr w:rsidR="00E02C27">
        <w:tc>
          <w:tcPr>
            <w:tcW w:w="1134" w:type="dxa"/>
            <w:vAlign w:val="center"/>
          </w:tcPr>
          <w:p w:rsidR="00E02C27" w:rsidRDefault="00E02C27">
            <w:pPr>
              <w:pStyle w:val="tabla"/>
            </w:pPr>
            <w:r>
              <w:t>OFIC</w:t>
            </w:r>
          </w:p>
        </w:tc>
        <w:tc>
          <w:tcPr>
            <w:tcW w:w="2835" w:type="dxa"/>
            <w:vAlign w:val="center"/>
          </w:tcPr>
          <w:p w:rsidR="00E02C27" w:rsidRDefault="00E02C27">
            <w:pPr>
              <w:pStyle w:val="tabla"/>
            </w:pPr>
            <w:r>
              <w:t>Oficina</w:t>
            </w:r>
          </w:p>
        </w:tc>
      </w:tr>
      <w:tr w:rsidR="00E02C27">
        <w:tc>
          <w:tcPr>
            <w:tcW w:w="1134" w:type="dxa"/>
            <w:vAlign w:val="center"/>
          </w:tcPr>
          <w:p w:rsidR="00E02C27" w:rsidRDefault="00E02C27">
            <w:pPr>
              <w:pStyle w:val="tabla"/>
            </w:pPr>
            <w:r>
              <w:t>PTO.</w:t>
            </w:r>
          </w:p>
        </w:tc>
        <w:tc>
          <w:tcPr>
            <w:tcW w:w="2835" w:type="dxa"/>
            <w:vAlign w:val="center"/>
          </w:tcPr>
          <w:p w:rsidR="00E02C27" w:rsidRDefault="00E02C27">
            <w:pPr>
              <w:pStyle w:val="tabla"/>
            </w:pPr>
            <w:r>
              <w:t>Puesto</w:t>
            </w:r>
          </w:p>
        </w:tc>
      </w:tr>
      <w:tr w:rsidR="00E02C27">
        <w:tc>
          <w:tcPr>
            <w:tcW w:w="1134" w:type="dxa"/>
            <w:vAlign w:val="center"/>
          </w:tcPr>
          <w:p w:rsidR="00E02C27" w:rsidRDefault="00E02C27">
            <w:pPr>
              <w:pStyle w:val="tabla"/>
            </w:pPr>
            <w:r>
              <w:t>TDA.</w:t>
            </w:r>
          </w:p>
        </w:tc>
        <w:tc>
          <w:tcPr>
            <w:tcW w:w="2835" w:type="dxa"/>
            <w:vAlign w:val="center"/>
          </w:tcPr>
          <w:p w:rsidR="00E02C27" w:rsidRDefault="00E02C27">
            <w:pPr>
              <w:pStyle w:val="tabla"/>
            </w:pPr>
            <w:r>
              <w:t>Tienda</w:t>
            </w:r>
          </w:p>
        </w:tc>
      </w:tr>
    </w:tbl>
    <w:p w:rsidR="00E02C27" w:rsidRDefault="00E02C27"/>
    <w:p w:rsidR="00E02C27" w:rsidRDefault="00E02C27">
      <w:pPr>
        <w:pStyle w:val="PORTADALOGO"/>
        <w:spacing w:after="120"/>
        <w:ind w:left="709"/>
        <w:rPr>
          <w:rFonts w:ascii="Arial" w:hAnsi="Arial" w:cs="Arial"/>
        </w:rPr>
      </w:pPr>
      <w:r>
        <w:rPr>
          <w:rFonts w:ascii="Arial" w:hAnsi="Arial" w:cs="Arial"/>
        </w:rPr>
        <w:t>Por ejemplo, la descripción de un domicilio “Planta 3, oficina A” utilizando estos 3 subcampos 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703"/>
        <w:gridCol w:w="704"/>
      </w:tblGrid>
      <w:tr w:rsidR="00E02C27">
        <w:trPr>
          <w:cantSplit/>
          <w:jc w:val="center"/>
        </w:trPr>
        <w:tc>
          <w:tcPr>
            <w:tcW w:w="2110" w:type="dxa"/>
            <w:gridSpan w:val="3"/>
            <w:tcBorders>
              <w:left w:val="nil"/>
            </w:tcBorders>
          </w:tcPr>
          <w:p w:rsidR="00E02C27" w:rsidRDefault="00E02C27">
            <w:pPr>
              <w:pStyle w:val="tabla"/>
              <w:rPr>
                <w:b/>
                <w:lang w:val="en-GB"/>
              </w:rPr>
            </w:pPr>
            <w:r>
              <w:rPr>
                <w:b/>
                <w:lang w:val="en-GB"/>
              </w:rPr>
              <w:t>Domicilio</w:t>
            </w:r>
          </w:p>
        </w:tc>
      </w:tr>
      <w:tr w:rsidR="00E02C27">
        <w:trPr>
          <w:trHeight w:val="305"/>
          <w:jc w:val="center"/>
        </w:trPr>
        <w:tc>
          <w:tcPr>
            <w:tcW w:w="703" w:type="dxa"/>
            <w:tcBorders>
              <w:left w:val="nil"/>
              <w:bottom w:val="single" w:sz="12" w:space="0" w:color="auto"/>
            </w:tcBorders>
          </w:tcPr>
          <w:p w:rsidR="00E02C27" w:rsidRDefault="00E02C27">
            <w:pPr>
              <w:pStyle w:val="tabla"/>
              <w:rPr>
                <w:b/>
                <w:lang w:val="en-GB"/>
              </w:rPr>
            </w:pPr>
            <w:r>
              <w:rPr>
                <w:b/>
                <w:lang w:val="en-GB"/>
              </w:rPr>
              <w:t>Plant</w:t>
            </w:r>
          </w:p>
        </w:tc>
        <w:tc>
          <w:tcPr>
            <w:tcW w:w="703" w:type="dxa"/>
            <w:tcBorders>
              <w:bottom w:val="single" w:sz="12" w:space="0" w:color="auto"/>
            </w:tcBorders>
          </w:tcPr>
          <w:p w:rsidR="00E02C27" w:rsidRDefault="00E02C27">
            <w:pPr>
              <w:pStyle w:val="tabla"/>
              <w:rPr>
                <w:b/>
                <w:lang w:val="en-GB"/>
              </w:rPr>
            </w:pPr>
            <w:r>
              <w:rPr>
                <w:b/>
                <w:lang w:val="en-GB"/>
              </w:rPr>
              <w:t>Man1</w:t>
            </w:r>
          </w:p>
        </w:tc>
        <w:tc>
          <w:tcPr>
            <w:tcW w:w="704" w:type="dxa"/>
            <w:tcBorders>
              <w:bottom w:val="single" w:sz="12" w:space="0" w:color="auto"/>
            </w:tcBorders>
          </w:tcPr>
          <w:p w:rsidR="00E02C27" w:rsidRDefault="00E02C27">
            <w:pPr>
              <w:pStyle w:val="tabla"/>
              <w:rPr>
                <w:b/>
              </w:rPr>
            </w:pPr>
            <w:r>
              <w:rPr>
                <w:b/>
              </w:rPr>
              <w:t>Man2</w:t>
            </w:r>
          </w:p>
        </w:tc>
      </w:tr>
    </w:tbl>
    <w:p w:rsidR="00E02C27" w:rsidRDefault="00E02C27">
      <w:pPr>
        <w:ind w:left="1418" w:hanging="545"/>
      </w:pPr>
      <w:bookmarkStart w:id="129" w:name="_Toc256445094"/>
      <w:bookmarkStart w:id="130" w:name="_Toc256445098"/>
      <w:bookmarkStart w:id="131" w:name="_Toc256445107"/>
      <w:bookmarkStart w:id="132" w:name="_Toc256445112"/>
      <w:bookmarkEnd w:id="129"/>
      <w:bookmarkEnd w:id="130"/>
      <w:bookmarkEnd w:id="131"/>
      <w:bookmarkEnd w:id="132"/>
    </w:p>
    <w:sectPr w:rsidR="00E02C27">
      <w:headerReference w:type="default" r:id="rId30"/>
      <w:footerReference w:type="default" r:id="rId31"/>
      <w:pgSz w:w="11907" w:h="16840" w:code="9"/>
      <w:pgMar w:top="1418" w:right="851" w:bottom="2127"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3B2" w:rsidRDefault="002133B2">
      <w:r>
        <w:separator/>
      </w:r>
    </w:p>
    <w:p w:rsidR="002133B2" w:rsidRDefault="002133B2"/>
  </w:endnote>
  <w:endnote w:type="continuationSeparator" w:id="0">
    <w:p w:rsidR="002133B2" w:rsidRDefault="002133B2">
      <w:r>
        <w:continuationSeparator/>
      </w:r>
    </w:p>
    <w:p w:rsidR="002133B2" w:rsidRDefault="002133B2"/>
  </w:endnote>
  <w:endnote w:type="continuationNotice" w:id="1">
    <w:p w:rsidR="002133B2" w:rsidRDefault="00213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heSansCorrespondence">
    <w:altName w:val="Corbel"/>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auto"/>
      </w:tblBorders>
      <w:tblLayout w:type="fixed"/>
      <w:tblLook w:val="01E0" w:firstRow="1" w:lastRow="1" w:firstColumn="1" w:lastColumn="1" w:noHBand="0" w:noVBand="0"/>
    </w:tblPr>
    <w:tblGrid>
      <w:gridCol w:w="1560"/>
      <w:gridCol w:w="6804"/>
      <w:gridCol w:w="1842"/>
    </w:tblGrid>
    <w:tr w:rsidR="00BA7E2E">
      <w:tc>
        <w:tcPr>
          <w:tcW w:w="1560" w:type="dxa"/>
        </w:tcPr>
        <w:p w:rsidR="00BA7E2E" w:rsidRDefault="00BA7E2E">
          <w:pPr>
            <w:tabs>
              <w:tab w:val="right" w:pos="8789"/>
            </w:tabs>
            <w:ind w:left="0"/>
            <w:jc w:val="left"/>
            <w:rPr>
              <w:snapToGrid w:val="0"/>
              <w:sz w:val="16"/>
            </w:rPr>
          </w:pPr>
          <w:r>
            <w:rPr>
              <w:rStyle w:val="Nmerodepgina"/>
              <w:sz w:val="16"/>
            </w:rPr>
            <w:tab/>
          </w:r>
        </w:p>
      </w:tc>
      <w:tc>
        <w:tcPr>
          <w:tcW w:w="6804" w:type="dxa"/>
        </w:tcPr>
        <w:p w:rsidR="00BA7E2E" w:rsidRDefault="00BA7E2E">
          <w:pPr>
            <w:tabs>
              <w:tab w:val="right" w:pos="8789"/>
            </w:tabs>
            <w:ind w:left="0"/>
            <w:jc w:val="center"/>
            <w:rPr>
              <w:sz w:val="16"/>
            </w:rPr>
          </w:pPr>
          <w:r>
            <w:rPr>
              <w:sz w:val="16"/>
            </w:rPr>
            <w:t>PROPIEDAD DE TELEFONICA ESPAÑA,</w:t>
          </w:r>
        </w:p>
        <w:p w:rsidR="00BA7E2E" w:rsidRDefault="00BA7E2E">
          <w:pPr>
            <w:tabs>
              <w:tab w:val="right" w:pos="8789"/>
            </w:tabs>
            <w:ind w:left="0"/>
            <w:jc w:val="center"/>
            <w:rPr>
              <w:snapToGrid w:val="0"/>
              <w:sz w:val="16"/>
            </w:rPr>
          </w:pPr>
          <w:r>
            <w:rPr>
              <w:sz w:val="16"/>
            </w:rPr>
            <w:t>Especificación funcional del servicio NEBA</w:t>
          </w:r>
        </w:p>
      </w:tc>
      <w:tc>
        <w:tcPr>
          <w:tcW w:w="1842" w:type="dxa"/>
        </w:tcPr>
        <w:p w:rsidR="00BA7E2E" w:rsidRDefault="00BA7E2E">
          <w:pPr>
            <w:tabs>
              <w:tab w:val="right" w:pos="8789"/>
            </w:tabs>
            <w:ind w:left="0"/>
            <w:jc w:val="right"/>
            <w:rPr>
              <w:snapToGrid w:val="0"/>
              <w:sz w:val="16"/>
            </w:rPr>
          </w:pPr>
          <w:r>
            <w:rPr>
              <w:sz w:val="16"/>
            </w:rPr>
            <w:t>P</w:t>
          </w:r>
          <w:r>
            <w:rPr>
              <w:snapToGrid w:val="0"/>
              <w:sz w:val="16"/>
            </w:rPr>
            <w:t xml:space="preserve">ágina </w:t>
          </w:r>
          <w:r>
            <w:rPr>
              <w:snapToGrid w:val="0"/>
              <w:sz w:val="16"/>
            </w:rPr>
            <w:fldChar w:fldCharType="begin"/>
          </w:r>
          <w:r>
            <w:rPr>
              <w:snapToGrid w:val="0"/>
              <w:sz w:val="16"/>
            </w:rPr>
            <w:instrText xml:space="preserve"> PAGE </w:instrText>
          </w:r>
          <w:r>
            <w:rPr>
              <w:snapToGrid w:val="0"/>
              <w:sz w:val="16"/>
            </w:rPr>
            <w:fldChar w:fldCharType="separate"/>
          </w:r>
          <w:r w:rsidR="00317ECF">
            <w:rPr>
              <w:noProof/>
              <w:snapToGrid w:val="0"/>
              <w:sz w:val="16"/>
            </w:rPr>
            <w:t>1</w:t>
          </w:r>
          <w:r>
            <w:rPr>
              <w:snapToGrid w:val="0"/>
              <w:sz w:val="16"/>
            </w:rPr>
            <w:fldChar w:fldCharType="end"/>
          </w:r>
          <w:r>
            <w:rPr>
              <w:snapToGrid w:val="0"/>
              <w:sz w:val="16"/>
            </w:rPr>
            <w:t xml:space="preserve"> de </w:t>
          </w:r>
          <w:r>
            <w:rPr>
              <w:snapToGrid w:val="0"/>
              <w:sz w:val="16"/>
            </w:rPr>
            <w:fldChar w:fldCharType="begin"/>
          </w:r>
          <w:r>
            <w:rPr>
              <w:snapToGrid w:val="0"/>
              <w:sz w:val="16"/>
            </w:rPr>
            <w:instrText xml:space="preserve"> NUMPAGES </w:instrText>
          </w:r>
          <w:r>
            <w:rPr>
              <w:snapToGrid w:val="0"/>
              <w:sz w:val="16"/>
            </w:rPr>
            <w:fldChar w:fldCharType="separate"/>
          </w:r>
          <w:r w:rsidR="00317ECF">
            <w:rPr>
              <w:noProof/>
              <w:snapToGrid w:val="0"/>
              <w:sz w:val="16"/>
            </w:rPr>
            <w:t>9</w:t>
          </w:r>
          <w:r>
            <w:rPr>
              <w:snapToGrid w:val="0"/>
              <w:sz w:val="16"/>
            </w:rPr>
            <w:fldChar w:fldCharType="end"/>
          </w:r>
        </w:p>
      </w:tc>
    </w:tr>
  </w:tbl>
  <w:p w:rsidR="00BA7E2E" w:rsidRDefault="00BA7E2E">
    <w:pPr>
      <w:tabs>
        <w:tab w:val="right" w:pos="8789"/>
      </w:tabs>
      <w:ind w:left="0"/>
      <w:jc w:val="center"/>
      <w:rPr>
        <w:snapToGrid w:val="0"/>
        <w:sz w:val="16"/>
      </w:rPr>
    </w:pPr>
  </w:p>
  <w:p w:rsidR="00BA7E2E" w:rsidRDefault="00BA7E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3B2" w:rsidRDefault="002133B2">
      <w:r>
        <w:separator/>
      </w:r>
    </w:p>
    <w:p w:rsidR="002133B2" w:rsidRDefault="002133B2"/>
  </w:footnote>
  <w:footnote w:type="continuationSeparator" w:id="0">
    <w:p w:rsidR="002133B2" w:rsidRDefault="002133B2">
      <w:r>
        <w:continuationSeparator/>
      </w:r>
    </w:p>
    <w:p w:rsidR="002133B2" w:rsidRDefault="002133B2"/>
  </w:footnote>
  <w:footnote w:type="continuationNotice" w:id="1">
    <w:p w:rsidR="002133B2" w:rsidRDefault="002133B2"/>
  </w:footnote>
  <w:footnote w:id="2">
    <w:p w:rsidR="00BA7E2E" w:rsidRPr="00711F6C" w:rsidRDefault="00BA7E2E">
      <w:pPr>
        <w:pStyle w:val="Textonotapie"/>
        <w:rPr>
          <w:rFonts w:ascii="Arial" w:hAnsi="Arial" w:cs="Arial"/>
          <w:sz w:val="20"/>
        </w:rPr>
      </w:pPr>
      <w:r w:rsidRPr="00711F6C">
        <w:rPr>
          <w:rStyle w:val="Refdenotaalpie"/>
          <w:rFonts w:ascii="Arial" w:hAnsi="Arial" w:cs="Arial"/>
          <w:sz w:val="20"/>
        </w:rPr>
        <w:footnoteRef/>
      </w:r>
      <w:r w:rsidRPr="00711F6C">
        <w:rPr>
          <w:rFonts w:ascii="Arial" w:hAnsi="Arial" w:cs="Arial"/>
          <w:sz w:val="20"/>
        </w:rPr>
        <w:t xml:space="preserve"> Resolución</w:t>
      </w:r>
      <w:r>
        <w:rPr>
          <w:rFonts w:ascii="Arial" w:hAnsi="Arial" w:cs="Arial"/>
          <w:sz w:val="20"/>
        </w:rPr>
        <w:t>, de 24 de febrero de 2016,</w:t>
      </w:r>
      <w:r w:rsidRPr="00711F6C">
        <w:rPr>
          <w:rFonts w:ascii="Arial" w:hAnsi="Arial" w:cs="Arial"/>
          <w:sz w:val="20"/>
        </w:rPr>
        <w:t xml:space="preserve"> por la cual se aprueba la definición y análisis del mercado de acceso local al por mayor facilitado en una ubicación fija y los mercados de acceso de banda ancha al por mayor, la designación de operadores con poder significativo de mercado y la imposición de obligaciones específicas, y se acuerda su </w:t>
      </w:r>
      <w:r w:rsidRPr="005523D0">
        <w:rPr>
          <w:rFonts w:ascii="Arial" w:hAnsi="Arial" w:cs="Arial"/>
          <w:sz w:val="20"/>
        </w:rPr>
        <w:t>notificación</w:t>
      </w:r>
      <w:r>
        <w:rPr>
          <w:rFonts w:ascii="Arial" w:hAnsi="Arial" w:cs="Arial"/>
          <w:sz w:val="20"/>
        </w:rPr>
        <w:t xml:space="preserve"> a la Comisión E</w:t>
      </w:r>
      <w:r w:rsidRPr="00711F6C">
        <w:rPr>
          <w:rFonts w:ascii="Arial" w:hAnsi="Arial" w:cs="Arial"/>
          <w:sz w:val="20"/>
        </w:rPr>
        <w:t>uropea y al organismo de reguladores europeos de comunicaciones electrónicas (</w:t>
      </w:r>
      <w:r>
        <w:rPr>
          <w:rFonts w:ascii="Arial" w:hAnsi="Arial" w:cs="Arial"/>
          <w:sz w:val="20"/>
        </w:rPr>
        <w:t>ORECE</w:t>
      </w:r>
      <w:r w:rsidRPr="00711F6C">
        <w:rPr>
          <w:rFonts w:ascii="Arial" w:hAnsi="Arial" w:cs="Arial"/>
          <w:sz w:val="20"/>
        </w:rPr>
        <w:t>)</w:t>
      </w:r>
      <w:r>
        <w:rPr>
          <w:rFonts w:ascii="Arial" w:hAnsi="Arial" w:cs="Arial"/>
          <w:sz w:val="20"/>
        </w:rPr>
        <w:t xml:space="preserve">, expediente </w:t>
      </w:r>
      <w:r w:rsidRPr="005523D0">
        <w:rPr>
          <w:rFonts w:ascii="Arial" w:hAnsi="Arial" w:cs="Arial"/>
          <w:sz w:val="20"/>
        </w:rPr>
        <w:t>ANME/DTSA/2154/14/MERCADOS 3a 3b 4</w:t>
      </w:r>
      <w:r>
        <w:rPr>
          <w:rFonts w:ascii="Arial" w:hAnsi="Arial" w:cs="Arial"/>
          <w:sz w:val="20"/>
        </w:rPr>
        <w:t>.</w:t>
      </w:r>
    </w:p>
  </w:footnote>
  <w:footnote w:id="3">
    <w:p w:rsidR="00BA7E2E" w:rsidRPr="006F3E19" w:rsidRDefault="00BA7E2E">
      <w:pPr>
        <w:pStyle w:val="Textonotapie"/>
        <w:spacing w:before="120"/>
        <w:rPr>
          <w:rFonts w:ascii="Arial" w:hAnsi="Arial" w:cs="Arial"/>
          <w:sz w:val="20"/>
          <w:lang w:val="es-ES_tradnl"/>
        </w:rPr>
      </w:pPr>
      <w:r w:rsidRPr="006F3E19">
        <w:rPr>
          <w:rStyle w:val="Refdenotaalpie"/>
          <w:rFonts w:ascii="Arial" w:hAnsi="Arial" w:cs="Arial"/>
          <w:sz w:val="20"/>
        </w:rPr>
        <w:footnoteRef/>
      </w:r>
      <w:r w:rsidRPr="006F3E19">
        <w:rPr>
          <w:rFonts w:ascii="Arial" w:hAnsi="Arial" w:cs="Arial"/>
          <w:sz w:val="20"/>
        </w:rPr>
        <w:t xml:space="preserve"> </w:t>
      </w:r>
      <w:r w:rsidRPr="006F3E19">
        <w:rPr>
          <w:rFonts w:ascii="Arial" w:hAnsi="Arial" w:cs="Arial"/>
          <w:sz w:val="20"/>
          <w:lang w:val="es-ES_tradnl"/>
        </w:rPr>
        <w:t xml:space="preserve">Velocidad de sincronización de la línea: velocidad de </w:t>
      </w:r>
      <w:smartTag w:uri="urn:schemas-microsoft-com:office:smarttags" w:element="PersonName">
        <w:smartTagPr>
          <w:attr w:name="ProductID" w:val="la interfaz ADSL"/>
        </w:smartTagPr>
        <w:r w:rsidRPr="006F3E19">
          <w:rPr>
            <w:rFonts w:ascii="Arial" w:hAnsi="Arial" w:cs="Arial"/>
            <w:sz w:val="20"/>
            <w:lang w:val="es-ES_tradnl"/>
          </w:rPr>
          <w:t>la interfaz ADSL</w:t>
        </w:r>
      </w:smartTag>
      <w:r w:rsidRPr="006F3E19">
        <w:rPr>
          <w:rFonts w:ascii="Arial" w:hAnsi="Arial" w:cs="Arial"/>
          <w:sz w:val="20"/>
          <w:lang w:val="es-ES_tradnl"/>
        </w:rPr>
        <w:t>2+/VDSL2 entre el puerto de entrada del DSLAM y el equipo de cliente. Esta velocidad no tiene por qué coincidir con el flujo de datos de las aplicaciones IP.</w:t>
      </w:r>
    </w:p>
  </w:footnote>
  <w:footnote w:id="4">
    <w:p w:rsidR="00BA7E2E" w:rsidRPr="006F3E19" w:rsidRDefault="00BA7E2E">
      <w:pPr>
        <w:autoSpaceDE w:val="0"/>
        <w:autoSpaceDN w:val="0"/>
        <w:adjustRightInd w:val="0"/>
        <w:spacing w:before="120"/>
        <w:rPr>
          <w:rFonts w:ascii="Arial" w:hAnsi="Arial" w:cs="Arial"/>
          <w:color w:val="000000"/>
          <w:sz w:val="20"/>
        </w:rPr>
      </w:pPr>
      <w:r w:rsidRPr="006F3E19">
        <w:rPr>
          <w:rStyle w:val="Refdenotaalpie"/>
          <w:rFonts w:ascii="Arial" w:hAnsi="Arial" w:cs="Arial"/>
          <w:sz w:val="20"/>
        </w:rPr>
        <w:footnoteRef/>
      </w:r>
      <w:r w:rsidRPr="006F3E19">
        <w:rPr>
          <w:rFonts w:ascii="Arial" w:hAnsi="Arial" w:cs="Arial"/>
          <w:sz w:val="20"/>
        </w:rPr>
        <w:t xml:space="preserve">  </w:t>
      </w:r>
      <w:r w:rsidRPr="006F3E19">
        <w:rPr>
          <w:rFonts w:ascii="Arial" w:hAnsi="Arial" w:cs="Arial"/>
          <w:bCs/>
          <w:color w:val="000000"/>
          <w:sz w:val="20"/>
        </w:rPr>
        <w:t>Zona OBA</w:t>
      </w:r>
      <w:r w:rsidRPr="006F3E19">
        <w:rPr>
          <w:rFonts w:ascii="Arial" w:hAnsi="Arial" w:cs="Arial"/>
          <w:color w:val="000000"/>
          <w:sz w:val="20"/>
        </w:rPr>
        <w:t>: centrales de Telefónica, identificadas por su código MIGA, en las cuales existe al menos un operador co-ubicado con al menos un bucle alquilado, con independencia de la modalidad.</w:t>
      </w:r>
    </w:p>
    <w:p w:rsidR="00BA7E2E" w:rsidRDefault="00BA7E2E" w:rsidP="006F3E19">
      <w:pPr>
        <w:autoSpaceDE w:val="0"/>
        <w:autoSpaceDN w:val="0"/>
        <w:adjustRightInd w:val="0"/>
        <w:spacing w:before="120"/>
      </w:pPr>
      <w:r w:rsidRPr="006F3E19">
        <w:rPr>
          <w:rFonts w:ascii="Arial" w:hAnsi="Arial" w:cs="Arial"/>
          <w:bCs/>
          <w:color w:val="000000"/>
          <w:sz w:val="20"/>
        </w:rPr>
        <w:t>Zona No OBA</w:t>
      </w:r>
      <w:r w:rsidRPr="006F3E19">
        <w:rPr>
          <w:rFonts w:ascii="Arial" w:hAnsi="Arial" w:cs="Arial"/>
          <w:color w:val="000000"/>
          <w:sz w:val="20"/>
        </w:rPr>
        <w:t xml:space="preserve">: centrales de Telefónica, identificadas por su código MIGA, en las cuales, con independencia de si hay o no algún operador co-ubicado, no existe ningún bucle alquilado por un tercero distinto de </w:t>
      </w:r>
      <w:smartTag w:uri="urn:schemas-microsoft-com:office:smarttags" w:element="PersonName">
        <w:smartTagPr>
          <w:attr w:name="ProductID" w:val="la propia Telef￳nica."/>
        </w:smartTagPr>
        <w:r w:rsidRPr="006F3E19">
          <w:rPr>
            <w:rFonts w:ascii="Arial" w:hAnsi="Arial" w:cs="Arial"/>
            <w:color w:val="000000"/>
            <w:sz w:val="20"/>
          </w:rPr>
          <w:t>la propia Telefónica.</w:t>
        </w:r>
      </w:smartTag>
    </w:p>
  </w:footnote>
  <w:footnote w:id="5">
    <w:p w:rsidR="00BA7E2E" w:rsidRPr="006F3E19" w:rsidRDefault="00BA7E2E">
      <w:pPr>
        <w:pStyle w:val="Textonotapie"/>
        <w:spacing w:before="120"/>
        <w:rPr>
          <w:rFonts w:ascii="Arial" w:hAnsi="Arial" w:cs="Arial"/>
          <w:sz w:val="20"/>
          <w:lang w:val="es-ES_tradnl"/>
        </w:rPr>
      </w:pPr>
      <w:r w:rsidRPr="006F3E19">
        <w:rPr>
          <w:rStyle w:val="Refdenotaalpie"/>
          <w:rFonts w:ascii="Arial" w:hAnsi="Arial" w:cs="Arial"/>
          <w:sz w:val="20"/>
        </w:rPr>
        <w:footnoteRef/>
      </w:r>
      <w:r w:rsidRPr="006F3E19">
        <w:rPr>
          <w:rFonts w:ascii="Arial" w:hAnsi="Arial" w:cs="Arial"/>
          <w:sz w:val="20"/>
        </w:rPr>
        <w:t xml:space="preserve"> </w:t>
      </w:r>
      <w:r w:rsidRPr="006F3E19">
        <w:rPr>
          <w:rFonts w:ascii="Arial" w:hAnsi="Arial" w:cs="Arial"/>
          <w:sz w:val="20"/>
          <w:lang w:val="es-ES_tradnl"/>
        </w:rPr>
        <w:t xml:space="preserve">Velocidad de sincronización de la línea: velocidad de </w:t>
      </w:r>
      <w:smartTag w:uri="urn:schemas-microsoft-com:office:smarttags" w:element="PersonName">
        <w:smartTagPr>
          <w:attr w:name="ProductID" w:val="la interfaz ADSL"/>
        </w:smartTagPr>
        <w:r w:rsidRPr="006F3E19">
          <w:rPr>
            <w:rFonts w:ascii="Arial" w:hAnsi="Arial" w:cs="Arial"/>
            <w:sz w:val="20"/>
            <w:lang w:val="es-ES_tradnl"/>
          </w:rPr>
          <w:t>la interfaz ADSL</w:t>
        </w:r>
      </w:smartTag>
      <w:r w:rsidRPr="006F3E19">
        <w:rPr>
          <w:rFonts w:ascii="Arial" w:hAnsi="Arial" w:cs="Arial"/>
          <w:sz w:val="20"/>
          <w:lang w:val="es-ES_tradnl"/>
        </w:rPr>
        <w:t>2+/VDSL2 entre el puerto de entrada del DSLAM y el equipo de cliente. Esta velocidad no tiene por qué coincidir con el flujo de datos de las aplicaciones IP.</w:t>
      </w:r>
    </w:p>
  </w:footnote>
  <w:footnote w:id="6">
    <w:p w:rsidR="00BA7E2E" w:rsidRPr="00D67F98" w:rsidRDefault="00BA7E2E" w:rsidP="00D67F98">
      <w:pPr>
        <w:rPr>
          <w:rFonts w:ascii="Arial" w:hAnsi="Arial" w:cs="Arial"/>
          <w:sz w:val="20"/>
          <w:lang w:val="es-ES_tradnl"/>
        </w:rPr>
      </w:pPr>
      <w:r w:rsidRPr="00D67F98">
        <w:rPr>
          <w:rStyle w:val="Refdenotaalpie"/>
          <w:rFonts w:ascii="Arial" w:hAnsi="Arial" w:cs="Arial"/>
          <w:sz w:val="20"/>
        </w:rPr>
        <w:footnoteRef/>
      </w:r>
      <w:r w:rsidRPr="00D67F98">
        <w:rPr>
          <w:rFonts w:ascii="Arial" w:hAnsi="Arial" w:cs="Arial"/>
          <w:sz w:val="20"/>
        </w:rPr>
        <w:t xml:space="preserve"> </w:t>
      </w:r>
      <w:r w:rsidRPr="00D67F98">
        <w:rPr>
          <w:rFonts w:ascii="Arial" w:hAnsi="Arial" w:cs="Arial"/>
          <w:sz w:val="20"/>
          <w:lang w:val="es-ES_tradnl"/>
        </w:rPr>
        <w:t xml:space="preserve">Originalmente, el número administrativo se utilizaba para la identificación de circuitos alquilados. La introducción de los servicios regulados de </w:t>
      </w:r>
      <w:smartTag w:uri="urn:schemas-microsoft-com:office:smarttags" w:element="PersonName">
        <w:smartTagPr>
          <w:attr w:name="ProductID" w:val="la OBA"/>
        </w:smartTagPr>
        <w:r w:rsidRPr="00D67F98">
          <w:rPr>
            <w:rFonts w:ascii="Arial" w:hAnsi="Arial" w:cs="Arial"/>
            <w:sz w:val="20"/>
            <w:lang w:val="es-ES_tradnl"/>
          </w:rPr>
          <w:t>la OBA</w:t>
        </w:r>
      </w:smartTag>
      <w:r w:rsidRPr="00D67F98">
        <w:rPr>
          <w:rFonts w:ascii="Arial" w:hAnsi="Arial" w:cs="Arial"/>
          <w:sz w:val="20"/>
          <w:lang w:val="es-ES_tradnl"/>
        </w:rPr>
        <w:t xml:space="preserve"> hizo que el Administrativo se utilizada en servicios de datos asociados a dicha oferta de referencia, así como posteriormente, al servicio ADSL minorista  de Telefónica y a los servicios de prolongación de par de </w:t>
      </w:r>
      <w:smartTag w:uri="urn:schemas-microsoft-com:office:smarttags" w:element="PersonName">
        <w:smartTagPr>
          <w:attr w:name="ProductID" w:val="la OBA."/>
        </w:smartTagPr>
        <w:r w:rsidRPr="00D67F98">
          <w:rPr>
            <w:rFonts w:ascii="Arial" w:hAnsi="Arial" w:cs="Arial"/>
            <w:sz w:val="20"/>
            <w:lang w:val="es-ES_tradnl"/>
          </w:rPr>
          <w:t>la OBA.</w:t>
        </w:r>
      </w:smartTag>
    </w:p>
  </w:footnote>
  <w:footnote w:id="7">
    <w:p w:rsidR="00BA7E2E" w:rsidRPr="00711F6C" w:rsidRDefault="00BA7E2E">
      <w:pPr>
        <w:pStyle w:val="Textonotapie"/>
        <w:rPr>
          <w:rFonts w:ascii="Arial" w:hAnsi="Arial" w:cs="Arial"/>
          <w:sz w:val="20"/>
        </w:rPr>
      </w:pPr>
      <w:r w:rsidRPr="00711F6C">
        <w:rPr>
          <w:rStyle w:val="Refdenotaalpie"/>
          <w:rFonts w:ascii="Arial" w:hAnsi="Arial" w:cs="Arial"/>
          <w:sz w:val="20"/>
        </w:rPr>
        <w:footnoteRef/>
      </w:r>
      <w:r w:rsidRPr="00711F6C">
        <w:rPr>
          <w:rFonts w:ascii="Arial" w:hAnsi="Arial" w:cs="Arial"/>
          <w:sz w:val="20"/>
        </w:rPr>
        <w:t xml:space="preserve"> Telefónica proporcionará el algoritmo de generación del código de control del IUA a los operadores alternativos</w:t>
      </w:r>
      <w:r>
        <w:rPr>
          <w:rFonts w:ascii="Arial" w:hAnsi="Arial" w:cs="Arial"/>
          <w:sz w:val="20"/>
        </w:rPr>
        <w:t>.</w:t>
      </w:r>
    </w:p>
  </w:footnote>
  <w:footnote w:id="8">
    <w:p w:rsidR="00BA7E2E" w:rsidRPr="00D67F98" w:rsidRDefault="00BA7E2E">
      <w:pPr>
        <w:pStyle w:val="Textonotapie"/>
        <w:rPr>
          <w:rFonts w:ascii="Arial" w:hAnsi="Arial" w:cs="Arial"/>
          <w:sz w:val="20"/>
        </w:rPr>
      </w:pPr>
      <w:r w:rsidRPr="00D67F98">
        <w:rPr>
          <w:rStyle w:val="Refdenotaalpie"/>
          <w:rFonts w:ascii="Arial" w:hAnsi="Arial" w:cs="Arial"/>
          <w:sz w:val="20"/>
        </w:rPr>
        <w:footnoteRef/>
      </w:r>
      <w:r w:rsidRPr="00D67F98">
        <w:rPr>
          <w:rFonts w:ascii="Arial" w:hAnsi="Arial" w:cs="Arial"/>
          <w:sz w:val="20"/>
        </w:rPr>
        <w:t xml:space="preserve"> El análisis de los movimientos de servicios “sin STB” hacia servicios “con STB” (AMLT) deberá acometerse más adelante, en el contexto de los desarrollos en NEON para el servicio AMLT (canal WS y alta conjunta AMLT+ indirecto). </w:t>
      </w:r>
    </w:p>
  </w:footnote>
  <w:footnote w:id="9">
    <w:p w:rsidR="00BA7E2E" w:rsidRPr="00D67F98" w:rsidRDefault="00BA7E2E">
      <w:pPr>
        <w:pStyle w:val="Textonotapie"/>
        <w:rPr>
          <w:rFonts w:ascii="Arial" w:hAnsi="Arial" w:cs="Arial"/>
          <w:sz w:val="20"/>
        </w:rPr>
      </w:pPr>
      <w:r w:rsidRPr="00D67F98">
        <w:rPr>
          <w:rStyle w:val="Refdenotaalpie"/>
          <w:rFonts w:ascii="Arial" w:hAnsi="Arial" w:cs="Arial"/>
          <w:sz w:val="20"/>
        </w:rPr>
        <w:footnoteRef/>
      </w:r>
      <w:r w:rsidRPr="00D67F98">
        <w:rPr>
          <w:rFonts w:ascii="Arial" w:hAnsi="Arial" w:cs="Arial"/>
          <w:sz w:val="20"/>
        </w:rPr>
        <w:t xml:space="preserve"> Esta consulta tiene en cuenta los condicionantes en cobertura que existen dependiendo de si el movimiento que se solicita es alta o postventa (en un movimiento que implique mantener o reducir la velocidad no se valida cobertura)</w:t>
      </w:r>
      <w:r>
        <w:rPr>
          <w:rFonts w:ascii="Arial" w:hAnsi="Arial" w:cs="Arial"/>
          <w:sz w:val="20"/>
        </w:rPr>
        <w:t>.</w:t>
      </w:r>
    </w:p>
  </w:footnote>
  <w:footnote w:id="10">
    <w:p w:rsidR="00BA7E2E" w:rsidRDefault="00BA7E2E">
      <w:pPr>
        <w:pStyle w:val="Textonotapie"/>
        <w:rPr>
          <w:rFonts w:ascii="Arial" w:hAnsi="Arial" w:cs="Arial"/>
          <w:sz w:val="20"/>
        </w:rPr>
      </w:pPr>
      <w:r>
        <w:rPr>
          <w:rStyle w:val="Refdenotaalpie"/>
        </w:rPr>
        <w:footnoteRef/>
      </w:r>
      <w:r>
        <w:t xml:space="preserve"> </w:t>
      </w:r>
      <w:r>
        <w:rPr>
          <w:rFonts w:ascii="Arial" w:hAnsi="Arial" w:cs="Arial"/>
          <w:sz w:val="20"/>
        </w:rPr>
        <w:t>GESCAL37 está compuesto por GESCAL24 que codifica la finca más la codificación de la escalera y domicilio dentro de la finca.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4639"/>
      <w:gridCol w:w="5567"/>
    </w:tblGrid>
    <w:tr w:rsidR="00BA7E2E">
      <w:tc>
        <w:tcPr>
          <w:tcW w:w="4639" w:type="dxa"/>
          <w:vAlign w:val="center"/>
        </w:tcPr>
        <w:p w:rsidR="00BA7E2E" w:rsidRDefault="00BA7E2E">
          <w:pPr>
            <w:pStyle w:val="Encabezado"/>
            <w:ind w:left="0" w:right="-738"/>
            <w:jc w:val="left"/>
          </w:pPr>
          <w:r>
            <w:rPr>
              <w:noProof/>
            </w:rPr>
            <w:drawing>
              <wp:inline distT="0" distB="0" distL="0" distR="0">
                <wp:extent cx="1440180" cy="381000"/>
                <wp:effectExtent l="0" t="0" r="762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381000"/>
                        </a:xfrm>
                        <a:prstGeom prst="rect">
                          <a:avLst/>
                        </a:prstGeom>
                        <a:noFill/>
                        <a:ln>
                          <a:noFill/>
                        </a:ln>
                      </pic:spPr>
                    </pic:pic>
                  </a:graphicData>
                </a:graphic>
              </wp:inline>
            </w:drawing>
          </w:r>
        </w:p>
      </w:tc>
      <w:tc>
        <w:tcPr>
          <w:tcW w:w="5567" w:type="dxa"/>
          <w:vAlign w:val="center"/>
        </w:tcPr>
        <w:p w:rsidR="00BA7E2E" w:rsidRDefault="00BA7E2E">
          <w:pPr>
            <w:pStyle w:val="Encabezado"/>
            <w:ind w:left="0"/>
            <w:jc w:val="right"/>
            <w:rPr>
              <w:sz w:val="16"/>
            </w:rPr>
          </w:pPr>
        </w:p>
      </w:tc>
    </w:tr>
  </w:tbl>
  <w:p w:rsidR="00BA7E2E" w:rsidRDefault="00BA7E2E">
    <w:pPr>
      <w:pStyle w:val="Encabezado"/>
      <w:ind w:left="0" w:right="-738"/>
    </w:pPr>
  </w:p>
  <w:p w:rsidR="00BA7E2E" w:rsidRDefault="00BA7E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3ED216"/>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CADA9A66"/>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08A62C76"/>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E5E2C550"/>
    <w:lvl w:ilvl="0">
      <w:start w:val="1"/>
      <w:numFmt w:val="decimal"/>
      <w:pStyle w:val="Listaconnmeros2"/>
      <w:lvlText w:val="%1."/>
      <w:lvlJc w:val="left"/>
      <w:pPr>
        <w:tabs>
          <w:tab w:val="num" w:pos="1551"/>
        </w:tabs>
        <w:ind w:left="1551" w:hanging="360"/>
      </w:pPr>
    </w:lvl>
  </w:abstractNum>
  <w:abstractNum w:abstractNumId="4">
    <w:nsid w:val="FFFFFF80"/>
    <w:multiLevelType w:val="singleLevel"/>
    <w:tmpl w:val="C5B44516"/>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1"/>
    <w:multiLevelType w:val="singleLevel"/>
    <w:tmpl w:val="B7BC5C3C"/>
    <w:lvl w:ilvl="0">
      <w:start w:val="1"/>
      <w:numFmt w:val="bullet"/>
      <w:pStyle w:val="Listaconvietas4"/>
      <w:lvlText w:val=""/>
      <w:lvlJc w:val="left"/>
      <w:pPr>
        <w:tabs>
          <w:tab w:val="num" w:pos="1209"/>
        </w:tabs>
        <w:ind w:left="1209" w:hanging="360"/>
      </w:pPr>
      <w:rPr>
        <w:rFonts w:ascii="Symbol" w:hAnsi="Symbol" w:hint="default"/>
      </w:rPr>
    </w:lvl>
  </w:abstractNum>
  <w:abstractNum w:abstractNumId="6">
    <w:nsid w:val="FFFFFF88"/>
    <w:multiLevelType w:val="singleLevel"/>
    <w:tmpl w:val="94423CF6"/>
    <w:lvl w:ilvl="0">
      <w:start w:val="1"/>
      <w:numFmt w:val="decimal"/>
      <w:pStyle w:val="Listaconnmeros"/>
      <w:lvlText w:val="%1."/>
      <w:lvlJc w:val="left"/>
      <w:pPr>
        <w:tabs>
          <w:tab w:val="num" w:pos="1233"/>
        </w:tabs>
        <w:ind w:left="1233" w:hanging="360"/>
      </w:pPr>
      <w:rPr>
        <w:rFonts w:hint="default"/>
      </w:rPr>
    </w:lvl>
  </w:abstractNum>
  <w:abstractNum w:abstractNumId="7">
    <w:nsid w:val="02896987"/>
    <w:multiLevelType w:val="hybridMultilevel"/>
    <w:tmpl w:val="7598D17A"/>
    <w:lvl w:ilvl="0" w:tplc="0C0A0005">
      <w:start w:val="1"/>
      <w:numFmt w:val="bullet"/>
      <w:lvlText w:val=""/>
      <w:lvlJc w:val="left"/>
      <w:pPr>
        <w:tabs>
          <w:tab w:val="num" w:pos="1593"/>
        </w:tabs>
        <w:ind w:left="1593" w:hanging="360"/>
      </w:pPr>
      <w:rPr>
        <w:rFonts w:ascii="Wingdings" w:hAnsi="Wingdings" w:hint="default"/>
      </w:rPr>
    </w:lvl>
    <w:lvl w:ilvl="1" w:tplc="0C0A0003" w:tentative="1">
      <w:start w:val="1"/>
      <w:numFmt w:val="bullet"/>
      <w:lvlText w:val="o"/>
      <w:lvlJc w:val="left"/>
      <w:pPr>
        <w:tabs>
          <w:tab w:val="num" w:pos="2313"/>
        </w:tabs>
        <w:ind w:left="2313" w:hanging="360"/>
      </w:pPr>
      <w:rPr>
        <w:rFonts w:ascii="Courier New" w:hAnsi="Courier New" w:cs="Courier New" w:hint="default"/>
      </w:rPr>
    </w:lvl>
    <w:lvl w:ilvl="2" w:tplc="0C0A0005" w:tentative="1">
      <w:start w:val="1"/>
      <w:numFmt w:val="bullet"/>
      <w:lvlText w:val=""/>
      <w:lvlJc w:val="left"/>
      <w:pPr>
        <w:tabs>
          <w:tab w:val="num" w:pos="3033"/>
        </w:tabs>
        <w:ind w:left="3033" w:hanging="360"/>
      </w:pPr>
      <w:rPr>
        <w:rFonts w:ascii="Wingdings" w:hAnsi="Wingdings" w:hint="default"/>
      </w:rPr>
    </w:lvl>
    <w:lvl w:ilvl="3" w:tplc="0C0A0001" w:tentative="1">
      <w:start w:val="1"/>
      <w:numFmt w:val="bullet"/>
      <w:lvlText w:val=""/>
      <w:lvlJc w:val="left"/>
      <w:pPr>
        <w:tabs>
          <w:tab w:val="num" w:pos="3753"/>
        </w:tabs>
        <w:ind w:left="3753" w:hanging="360"/>
      </w:pPr>
      <w:rPr>
        <w:rFonts w:ascii="Symbol" w:hAnsi="Symbol" w:hint="default"/>
      </w:rPr>
    </w:lvl>
    <w:lvl w:ilvl="4" w:tplc="0C0A0003" w:tentative="1">
      <w:start w:val="1"/>
      <w:numFmt w:val="bullet"/>
      <w:lvlText w:val="o"/>
      <w:lvlJc w:val="left"/>
      <w:pPr>
        <w:tabs>
          <w:tab w:val="num" w:pos="4473"/>
        </w:tabs>
        <w:ind w:left="4473" w:hanging="360"/>
      </w:pPr>
      <w:rPr>
        <w:rFonts w:ascii="Courier New" w:hAnsi="Courier New" w:cs="Courier New" w:hint="default"/>
      </w:rPr>
    </w:lvl>
    <w:lvl w:ilvl="5" w:tplc="0C0A0005" w:tentative="1">
      <w:start w:val="1"/>
      <w:numFmt w:val="bullet"/>
      <w:lvlText w:val=""/>
      <w:lvlJc w:val="left"/>
      <w:pPr>
        <w:tabs>
          <w:tab w:val="num" w:pos="5193"/>
        </w:tabs>
        <w:ind w:left="5193" w:hanging="360"/>
      </w:pPr>
      <w:rPr>
        <w:rFonts w:ascii="Wingdings" w:hAnsi="Wingdings" w:hint="default"/>
      </w:rPr>
    </w:lvl>
    <w:lvl w:ilvl="6" w:tplc="0C0A0001" w:tentative="1">
      <w:start w:val="1"/>
      <w:numFmt w:val="bullet"/>
      <w:lvlText w:val=""/>
      <w:lvlJc w:val="left"/>
      <w:pPr>
        <w:tabs>
          <w:tab w:val="num" w:pos="5913"/>
        </w:tabs>
        <w:ind w:left="5913" w:hanging="360"/>
      </w:pPr>
      <w:rPr>
        <w:rFonts w:ascii="Symbol" w:hAnsi="Symbol" w:hint="default"/>
      </w:rPr>
    </w:lvl>
    <w:lvl w:ilvl="7" w:tplc="0C0A0003" w:tentative="1">
      <w:start w:val="1"/>
      <w:numFmt w:val="bullet"/>
      <w:lvlText w:val="o"/>
      <w:lvlJc w:val="left"/>
      <w:pPr>
        <w:tabs>
          <w:tab w:val="num" w:pos="6633"/>
        </w:tabs>
        <w:ind w:left="6633" w:hanging="360"/>
      </w:pPr>
      <w:rPr>
        <w:rFonts w:ascii="Courier New" w:hAnsi="Courier New" w:cs="Courier New" w:hint="default"/>
      </w:rPr>
    </w:lvl>
    <w:lvl w:ilvl="8" w:tplc="0C0A0005" w:tentative="1">
      <w:start w:val="1"/>
      <w:numFmt w:val="bullet"/>
      <w:lvlText w:val=""/>
      <w:lvlJc w:val="left"/>
      <w:pPr>
        <w:tabs>
          <w:tab w:val="num" w:pos="7353"/>
        </w:tabs>
        <w:ind w:left="7353" w:hanging="360"/>
      </w:pPr>
      <w:rPr>
        <w:rFonts w:ascii="Wingdings" w:hAnsi="Wingdings" w:hint="default"/>
      </w:rPr>
    </w:lvl>
  </w:abstractNum>
  <w:abstractNum w:abstractNumId="8">
    <w:nsid w:val="03BA133F"/>
    <w:multiLevelType w:val="hybridMultilevel"/>
    <w:tmpl w:val="1BDAFDB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nsid w:val="03C258E9"/>
    <w:multiLevelType w:val="hybridMultilevel"/>
    <w:tmpl w:val="56E62044"/>
    <w:lvl w:ilvl="0" w:tplc="0C0A0003">
      <w:start w:val="1"/>
      <w:numFmt w:val="bullet"/>
      <w:lvlText w:val="o"/>
      <w:lvlJc w:val="left"/>
      <w:pPr>
        <w:tabs>
          <w:tab w:val="num" w:pos="1069"/>
        </w:tabs>
        <w:ind w:left="1069" w:hanging="360"/>
      </w:pPr>
      <w:rPr>
        <w:rFonts w:ascii="Courier New" w:hAnsi="Courier New" w:cs="Courier New" w:hint="default"/>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0">
    <w:nsid w:val="05182265"/>
    <w:multiLevelType w:val="hybridMultilevel"/>
    <w:tmpl w:val="551C74D8"/>
    <w:lvl w:ilvl="0" w:tplc="0C0A000F">
      <w:start w:val="1"/>
      <w:numFmt w:val="decimal"/>
      <w:lvlText w:val="%1."/>
      <w:lvlJc w:val="left"/>
      <w:pPr>
        <w:tabs>
          <w:tab w:val="num" w:pos="1296"/>
        </w:tabs>
        <w:ind w:left="1296" w:hanging="360"/>
      </w:pPr>
    </w:lvl>
    <w:lvl w:ilvl="1" w:tplc="0C0A0019" w:tentative="1">
      <w:start w:val="1"/>
      <w:numFmt w:val="lowerLetter"/>
      <w:lvlText w:val="%2."/>
      <w:lvlJc w:val="left"/>
      <w:pPr>
        <w:tabs>
          <w:tab w:val="num" w:pos="2016"/>
        </w:tabs>
        <w:ind w:left="2016" w:hanging="360"/>
      </w:pPr>
    </w:lvl>
    <w:lvl w:ilvl="2" w:tplc="0C0A001B" w:tentative="1">
      <w:start w:val="1"/>
      <w:numFmt w:val="lowerRoman"/>
      <w:lvlText w:val="%3."/>
      <w:lvlJc w:val="right"/>
      <w:pPr>
        <w:tabs>
          <w:tab w:val="num" w:pos="2736"/>
        </w:tabs>
        <w:ind w:left="2736" w:hanging="180"/>
      </w:pPr>
    </w:lvl>
    <w:lvl w:ilvl="3" w:tplc="0C0A000F" w:tentative="1">
      <w:start w:val="1"/>
      <w:numFmt w:val="decimal"/>
      <w:lvlText w:val="%4."/>
      <w:lvlJc w:val="left"/>
      <w:pPr>
        <w:tabs>
          <w:tab w:val="num" w:pos="3456"/>
        </w:tabs>
        <w:ind w:left="3456" w:hanging="360"/>
      </w:pPr>
    </w:lvl>
    <w:lvl w:ilvl="4" w:tplc="0C0A0019" w:tentative="1">
      <w:start w:val="1"/>
      <w:numFmt w:val="lowerLetter"/>
      <w:lvlText w:val="%5."/>
      <w:lvlJc w:val="left"/>
      <w:pPr>
        <w:tabs>
          <w:tab w:val="num" w:pos="4176"/>
        </w:tabs>
        <w:ind w:left="4176" w:hanging="360"/>
      </w:pPr>
    </w:lvl>
    <w:lvl w:ilvl="5" w:tplc="0C0A001B" w:tentative="1">
      <w:start w:val="1"/>
      <w:numFmt w:val="lowerRoman"/>
      <w:lvlText w:val="%6."/>
      <w:lvlJc w:val="right"/>
      <w:pPr>
        <w:tabs>
          <w:tab w:val="num" w:pos="4896"/>
        </w:tabs>
        <w:ind w:left="4896" w:hanging="180"/>
      </w:pPr>
    </w:lvl>
    <w:lvl w:ilvl="6" w:tplc="0C0A000F" w:tentative="1">
      <w:start w:val="1"/>
      <w:numFmt w:val="decimal"/>
      <w:lvlText w:val="%7."/>
      <w:lvlJc w:val="left"/>
      <w:pPr>
        <w:tabs>
          <w:tab w:val="num" w:pos="5616"/>
        </w:tabs>
        <w:ind w:left="5616" w:hanging="360"/>
      </w:pPr>
    </w:lvl>
    <w:lvl w:ilvl="7" w:tplc="0C0A0019" w:tentative="1">
      <w:start w:val="1"/>
      <w:numFmt w:val="lowerLetter"/>
      <w:lvlText w:val="%8."/>
      <w:lvlJc w:val="left"/>
      <w:pPr>
        <w:tabs>
          <w:tab w:val="num" w:pos="6336"/>
        </w:tabs>
        <w:ind w:left="6336" w:hanging="360"/>
      </w:pPr>
    </w:lvl>
    <w:lvl w:ilvl="8" w:tplc="0C0A001B" w:tentative="1">
      <w:start w:val="1"/>
      <w:numFmt w:val="lowerRoman"/>
      <w:lvlText w:val="%9."/>
      <w:lvlJc w:val="right"/>
      <w:pPr>
        <w:tabs>
          <w:tab w:val="num" w:pos="7056"/>
        </w:tabs>
        <w:ind w:left="7056" w:hanging="180"/>
      </w:pPr>
    </w:lvl>
  </w:abstractNum>
  <w:abstractNum w:abstractNumId="11">
    <w:nsid w:val="084562A1"/>
    <w:multiLevelType w:val="hybridMultilevel"/>
    <w:tmpl w:val="161EC708"/>
    <w:lvl w:ilvl="0" w:tplc="E7266016">
      <w:start w:val="1"/>
      <w:numFmt w:val="decimal"/>
      <w:lvlText w:val="%1."/>
      <w:lvlJc w:val="left"/>
      <w:pPr>
        <w:tabs>
          <w:tab w:val="num" w:pos="1871"/>
        </w:tabs>
        <w:ind w:left="1871" w:hanging="360"/>
      </w:pPr>
      <w:rPr>
        <w:rFonts w:hint="default"/>
      </w:rPr>
    </w:lvl>
    <w:lvl w:ilvl="1" w:tplc="0C0A0019" w:tentative="1">
      <w:start w:val="1"/>
      <w:numFmt w:val="lowerLetter"/>
      <w:lvlText w:val="%2."/>
      <w:lvlJc w:val="left"/>
      <w:pPr>
        <w:tabs>
          <w:tab w:val="num" w:pos="1533"/>
        </w:tabs>
        <w:ind w:left="1533" w:hanging="360"/>
      </w:pPr>
    </w:lvl>
    <w:lvl w:ilvl="2" w:tplc="0C0A001B" w:tentative="1">
      <w:start w:val="1"/>
      <w:numFmt w:val="lowerRoman"/>
      <w:lvlText w:val="%3."/>
      <w:lvlJc w:val="right"/>
      <w:pPr>
        <w:tabs>
          <w:tab w:val="num" w:pos="2253"/>
        </w:tabs>
        <w:ind w:left="2253" w:hanging="180"/>
      </w:pPr>
    </w:lvl>
    <w:lvl w:ilvl="3" w:tplc="0C0A000F" w:tentative="1">
      <w:start w:val="1"/>
      <w:numFmt w:val="decimal"/>
      <w:lvlText w:val="%4."/>
      <w:lvlJc w:val="left"/>
      <w:pPr>
        <w:tabs>
          <w:tab w:val="num" w:pos="2973"/>
        </w:tabs>
        <w:ind w:left="2973" w:hanging="360"/>
      </w:pPr>
    </w:lvl>
    <w:lvl w:ilvl="4" w:tplc="0C0A0019" w:tentative="1">
      <w:start w:val="1"/>
      <w:numFmt w:val="lowerLetter"/>
      <w:lvlText w:val="%5."/>
      <w:lvlJc w:val="left"/>
      <w:pPr>
        <w:tabs>
          <w:tab w:val="num" w:pos="3693"/>
        </w:tabs>
        <w:ind w:left="3693" w:hanging="360"/>
      </w:pPr>
    </w:lvl>
    <w:lvl w:ilvl="5" w:tplc="0C0A001B" w:tentative="1">
      <w:start w:val="1"/>
      <w:numFmt w:val="lowerRoman"/>
      <w:lvlText w:val="%6."/>
      <w:lvlJc w:val="right"/>
      <w:pPr>
        <w:tabs>
          <w:tab w:val="num" w:pos="4413"/>
        </w:tabs>
        <w:ind w:left="4413" w:hanging="180"/>
      </w:pPr>
    </w:lvl>
    <w:lvl w:ilvl="6" w:tplc="0C0A000F" w:tentative="1">
      <w:start w:val="1"/>
      <w:numFmt w:val="decimal"/>
      <w:lvlText w:val="%7."/>
      <w:lvlJc w:val="left"/>
      <w:pPr>
        <w:tabs>
          <w:tab w:val="num" w:pos="5133"/>
        </w:tabs>
        <w:ind w:left="5133" w:hanging="360"/>
      </w:pPr>
    </w:lvl>
    <w:lvl w:ilvl="7" w:tplc="0C0A0019" w:tentative="1">
      <w:start w:val="1"/>
      <w:numFmt w:val="lowerLetter"/>
      <w:lvlText w:val="%8."/>
      <w:lvlJc w:val="left"/>
      <w:pPr>
        <w:tabs>
          <w:tab w:val="num" w:pos="5853"/>
        </w:tabs>
        <w:ind w:left="5853" w:hanging="360"/>
      </w:pPr>
    </w:lvl>
    <w:lvl w:ilvl="8" w:tplc="0C0A001B" w:tentative="1">
      <w:start w:val="1"/>
      <w:numFmt w:val="lowerRoman"/>
      <w:lvlText w:val="%9."/>
      <w:lvlJc w:val="right"/>
      <w:pPr>
        <w:tabs>
          <w:tab w:val="num" w:pos="6573"/>
        </w:tabs>
        <w:ind w:left="6573" w:hanging="180"/>
      </w:pPr>
    </w:lvl>
  </w:abstractNum>
  <w:abstractNum w:abstractNumId="12">
    <w:nsid w:val="0A8B36A2"/>
    <w:multiLevelType w:val="hybridMultilevel"/>
    <w:tmpl w:val="B8F058CE"/>
    <w:lvl w:ilvl="0" w:tplc="AF5CD9C4">
      <w:start w:val="1"/>
      <w:numFmt w:val="decimal"/>
      <w:lvlText w:val="%1)"/>
      <w:lvlJc w:val="left"/>
      <w:pPr>
        <w:tabs>
          <w:tab w:val="num" w:pos="1069"/>
        </w:tabs>
        <w:ind w:left="1069" w:hanging="360"/>
      </w:pPr>
      <w:rPr>
        <w:rFonts w:hint="default"/>
      </w:rPr>
    </w:lvl>
    <w:lvl w:ilvl="1" w:tplc="0C0A0001">
      <w:start w:val="1"/>
      <w:numFmt w:val="bullet"/>
      <w:lvlText w:val=""/>
      <w:lvlJc w:val="left"/>
      <w:pPr>
        <w:tabs>
          <w:tab w:val="num" w:pos="1789"/>
        </w:tabs>
        <w:ind w:left="1789" w:hanging="360"/>
      </w:pPr>
      <w:rPr>
        <w:rFonts w:ascii="Symbol" w:hAnsi="Symbol" w:hint="default"/>
      </w:rPr>
    </w:lvl>
    <w:lvl w:ilvl="2" w:tplc="0C0A000B">
      <w:start w:val="1"/>
      <w:numFmt w:val="bullet"/>
      <w:lvlText w:val=""/>
      <w:lvlJc w:val="left"/>
      <w:pPr>
        <w:tabs>
          <w:tab w:val="num" w:pos="2689"/>
        </w:tabs>
        <w:ind w:left="2689" w:hanging="360"/>
      </w:pPr>
      <w:rPr>
        <w:rFonts w:ascii="Wingdings" w:hAnsi="Wingdings" w:hint="default"/>
      </w:rPr>
    </w:lvl>
    <w:lvl w:ilvl="3" w:tplc="94E6DAEA">
      <w:start w:val="1"/>
      <w:numFmt w:val="bullet"/>
      <w:lvlText w:val=""/>
      <w:lvlJc w:val="left"/>
      <w:pPr>
        <w:tabs>
          <w:tab w:val="num" w:pos="3229"/>
        </w:tabs>
        <w:ind w:left="3229" w:hanging="360"/>
      </w:pPr>
      <w:rPr>
        <w:rFonts w:ascii="Symbol" w:hAnsi="Symbol" w:hint="default"/>
      </w:rPr>
    </w:lvl>
    <w:lvl w:ilvl="4" w:tplc="0C0A0019">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13">
    <w:nsid w:val="0FDA3E00"/>
    <w:multiLevelType w:val="hybridMultilevel"/>
    <w:tmpl w:val="AE8CA512"/>
    <w:lvl w:ilvl="0" w:tplc="0C0A0001">
      <w:start w:val="1"/>
      <w:numFmt w:val="bullet"/>
      <w:lvlText w:val=""/>
      <w:lvlJc w:val="left"/>
      <w:pPr>
        <w:tabs>
          <w:tab w:val="num" w:pos="1069"/>
        </w:tabs>
        <w:ind w:left="1069" w:hanging="360"/>
      </w:pPr>
      <w:rPr>
        <w:rFonts w:ascii="Symbol" w:hAnsi="Symbol" w:hint="default"/>
      </w:rPr>
    </w:lvl>
    <w:lvl w:ilvl="1" w:tplc="0C0A0019" w:tentative="1">
      <w:start w:val="1"/>
      <w:numFmt w:val="lowerLetter"/>
      <w:lvlText w:val="%2."/>
      <w:lvlJc w:val="left"/>
      <w:pPr>
        <w:tabs>
          <w:tab w:val="num" w:pos="2138"/>
        </w:tabs>
        <w:ind w:left="2138" w:hanging="360"/>
      </w:pPr>
    </w:lvl>
    <w:lvl w:ilvl="2" w:tplc="0C0A001B" w:tentative="1">
      <w:start w:val="1"/>
      <w:numFmt w:val="lowerRoman"/>
      <w:lvlText w:val="%3."/>
      <w:lvlJc w:val="right"/>
      <w:pPr>
        <w:tabs>
          <w:tab w:val="num" w:pos="2858"/>
        </w:tabs>
        <w:ind w:left="2858" w:hanging="180"/>
      </w:pPr>
    </w:lvl>
    <w:lvl w:ilvl="3" w:tplc="0C0A000F" w:tentative="1">
      <w:start w:val="1"/>
      <w:numFmt w:val="decimal"/>
      <w:lvlText w:val="%4."/>
      <w:lvlJc w:val="left"/>
      <w:pPr>
        <w:tabs>
          <w:tab w:val="num" w:pos="3578"/>
        </w:tabs>
        <w:ind w:left="3578" w:hanging="360"/>
      </w:pPr>
    </w:lvl>
    <w:lvl w:ilvl="4" w:tplc="0C0A0019" w:tentative="1">
      <w:start w:val="1"/>
      <w:numFmt w:val="lowerLetter"/>
      <w:lvlText w:val="%5."/>
      <w:lvlJc w:val="left"/>
      <w:pPr>
        <w:tabs>
          <w:tab w:val="num" w:pos="4298"/>
        </w:tabs>
        <w:ind w:left="4298" w:hanging="360"/>
      </w:pPr>
    </w:lvl>
    <w:lvl w:ilvl="5" w:tplc="0C0A001B" w:tentative="1">
      <w:start w:val="1"/>
      <w:numFmt w:val="lowerRoman"/>
      <w:lvlText w:val="%6."/>
      <w:lvlJc w:val="right"/>
      <w:pPr>
        <w:tabs>
          <w:tab w:val="num" w:pos="5018"/>
        </w:tabs>
        <w:ind w:left="5018" w:hanging="180"/>
      </w:pPr>
    </w:lvl>
    <w:lvl w:ilvl="6" w:tplc="0C0A000F" w:tentative="1">
      <w:start w:val="1"/>
      <w:numFmt w:val="decimal"/>
      <w:lvlText w:val="%7."/>
      <w:lvlJc w:val="left"/>
      <w:pPr>
        <w:tabs>
          <w:tab w:val="num" w:pos="5738"/>
        </w:tabs>
        <w:ind w:left="5738" w:hanging="360"/>
      </w:pPr>
    </w:lvl>
    <w:lvl w:ilvl="7" w:tplc="0C0A0019" w:tentative="1">
      <w:start w:val="1"/>
      <w:numFmt w:val="lowerLetter"/>
      <w:lvlText w:val="%8."/>
      <w:lvlJc w:val="left"/>
      <w:pPr>
        <w:tabs>
          <w:tab w:val="num" w:pos="6458"/>
        </w:tabs>
        <w:ind w:left="6458" w:hanging="360"/>
      </w:pPr>
    </w:lvl>
    <w:lvl w:ilvl="8" w:tplc="0C0A001B" w:tentative="1">
      <w:start w:val="1"/>
      <w:numFmt w:val="lowerRoman"/>
      <w:lvlText w:val="%9."/>
      <w:lvlJc w:val="right"/>
      <w:pPr>
        <w:tabs>
          <w:tab w:val="num" w:pos="7178"/>
        </w:tabs>
        <w:ind w:left="7178" w:hanging="180"/>
      </w:pPr>
    </w:lvl>
  </w:abstractNum>
  <w:abstractNum w:abstractNumId="14">
    <w:nsid w:val="11CF72CF"/>
    <w:multiLevelType w:val="hybridMultilevel"/>
    <w:tmpl w:val="CE926CA8"/>
    <w:lvl w:ilvl="0" w:tplc="A27CDFB0">
      <w:numFmt w:val="bullet"/>
      <w:lvlText w:val="-"/>
      <w:lvlJc w:val="left"/>
      <w:pPr>
        <w:ind w:left="720" w:hanging="360"/>
      </w:pPr>
      <w:rPr>
        <w:rFonts w:ascii="Arial" w:eastAsia="Times New Roman" w:hAnsi="Arial" w:cs="Arial" w:hint="default"/>
      </w:rPr>
    </w:lvl>
    <w:lvl w:ilvl="1" w:tplc="0C0A0005">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15285D31"/>
    <w:multiLevelType w:val="hybridMultilevel"/>
    <w:tmpl w:val="CD5CC4A8"/>
    <w:lvl w:ilvl="0" w:tplc="0C0A0005">
      <w:start w:val="1"/>
      <w:numFmt w:val="bullet"/>
      <w:lvlText w:val=""/>
      <w:lvlJc w:val="left"/>
      <w:pPr>
        <w:tabs>
          <w:tab w:val="num" w:pos="1151"/>
        </w:tabs>
        <w:ind w:left="1151" w:hanging="360"/>
      </w:pPr>
      <w:rPr>
        <w:rFonts w:ascii="Wingdings" w:hAnsi="Wingdings" w:hint="default"/>
      </w:rPr>
    </w:lvl>
    <w:lvl w:ilvl="1" w:tplc="0C0A0003" w:tentative="1">
      <w:start w:val="1"/>
      <w:numFmt w:val="bullet"/>
      <w:lvlText w:val="o"/>
      <w:lvlJc w:val="left"/>
      <w:pPr>
        <w:tabs>
          <w:tab w:val="num" w:pos="1871"/>
        </w:tabs>
        <w:ind w:left="1871" w:hanging="360"/>
      </w:pPr>
      <w:rPr>
        <w:rFonts w:ascii="Courier New" w:hAnsi="Courier New" w:cs="Courier New" w:hint="default"/>
      </w:rPr>
    </w:lvl>
    <w:lvl w:ilvl="2" w:tplc="0C0A0005" w:tentative="1">
      <w:start w:val="1"/>
      <w:numFmt w:val="bullet"/>
      <w:lvlText w:val=""/>
      <w:lvlJc w:val="left"/>
      <w:pPr>
        <w:tabs>
          <w:tab w:val="num" w:pos="2591"/>
        </w:tabs>
        <w:ind w:left="2591" w:hanging="360"/>
      </w:pPr>
      <w:rPr>
        <w:rFonts w:ascii="Wingdings" w:hAnsi="Wingdings" w:hint="default"/>
      </w:rPr>
    </w:lvl>
    <w:lvl w:ilvl="3" w:tplc="0C0A0001" w:tentative="1">
      <w:start w:val="1"/>
      <w:numFmt w:val="bullet"/>
      <w:lvlText w:val=""/>
      <w:lvlJc w:val="left"/>
      <w:pPr>
        <w:tabs>
          <w:tab w:val="num" w:pos="3311"/>
        </w:tabs>
        <w:ind w:left="3311" w:hanging="360"/>
      </w:pPr>
      <w:rPr>
        <w:rFonts w:ascii="Symbol" w:hAnsi="Symbol" w:hint="default"/>
      </w:rPr>
    </w:lvl>
    <w:lvl w:ilvl="4" w:tplc="0C0A0003" w:tentative="1">
      <w:start w:val="1"/>
      <w:numFmt w:val="bullet"/>
      <w:lvlText w:val="o"/>
      <w:lvlJc w:val="left"/>
      <w:pPr>
        <w:tabs>
          <w:tab w:val="num" w:pos="4031"/>
        </w:tabs>
        <w:ind w:left="4031" w:hanging="360"/>
      </w:pPr>
      <w:rPr>
        <w:rFonts w:ascii="Courier New" w:hAnsi="Courier New" w:cs="Courier New" w:hint="default"/>
      </w:rPr>
    </w:lvl>
    <w:lvl w:ilvl="5" w:tplc="0C0A0005" w:tentative="1">
      <w:start w:val="1"/>
      <w:numFmt w:val="bullet"/>
      <w:lvlText w:val=""/>
      <w:lvlJc w:val="left"/>
      <w:pPr>
        <w:tabs>
          <w:tab w:val="num" w:pos="4751"/>
        </w:tabs>
        <w:ind w:left="4751" w:hanging="360"/>
      </w:pPr>
      <w:rPr>
        <w:rFonts w:ascii="Wingdings" w:hAnsi="Wingdings" w:hint="default"/>
      </w:rPr>
    </w:lvl>
    <w:lvl w:ilvl="6" w:tplc="0C0A0001" w:tentative="1">
      <w:start w:val="1"/>
      <w:numFmt w:val="bullet"/>
      <w:lvlText w:val=""/>
      <w:lvlJc w:val="left"/>
      <w:pPr>
        <w:tabs>
          <w:tab w:val="num" w:pos="5471"/>
        </w:tabs>
        <w:ind w:left="5471" w:hanging="360"/>
      </w:pPr>
      <w:rPr>
        <w:rFonts w:ascii="Symbol" w:hAnsi="Symbol" w:hint="default"/>
      </w:rPr>
    </w:lvl>
    <w:lvl w:ilvl="7" w:tplc="0C0A0003" w:tentative="1">
      <w:start w:val="1"/>
      <w:numFmt w:val="bullet"/>
      <w:lvlText w:val="o"/>
      <w:lvlJc w:val="left"/>
      <w:pPr>
        <w:tabs>
          <w:tab w:val="num" w:pos="6191"/>
        </w:tabs>
        <w:ind w:left="6191" w:hanging="360"/>
      </w:pPr>
      <w:rPr>
        <w:rFonts w:ascii="Courier New" w:hAnsi="Courier New" w:cs="Courier New" w:hint="default"/>
      </w:rPr>
    </w:lvl>
    <w:lvl w:ilvl="8" w:tplc="0C0A0005" w:tentative="1">
      <w:start w:val="1"/>
      <w:numFmt w:val="bullet"/>
      <w:lvlText w:val=""/>
      <w:lvlJc w:val="left"/>
      <w:pPr>
        <w:tabs>
          <w:tab w:val="num" w:pos="6911"/>
        </w:tabs>
        <w:ind w:left="6911" w:hanging="360"/>
      </w:pPr>
      <w:rPr>
        <w:rFonts w:ascii="Wingdings" w:hAnsi="Wingdings" w:hint="default"/>
      </w:rPr>
    </w:lvl>
  </w:abstractNum>
  <w:abstractNum w:abstractNumId="16">
    <w:nsid w:val="159F2823"/>
    <w:multiLevelType w:val="hybridMultilevel"/>
    <w:tmpl w:val="32DC7220"/>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1839020C"/>
    <w:multiLevelType w:val="hybridMultilevel"/>
    <w:tmpl w:val="7A3A68BA"/>
    <w:lvl w:ilvl="0" w:tplc="94E6DAEA">
      <w:start w:val="1"/>
      <w:numFmt w:val="bullet"/>
      <w:lvlText w:val=""/>
      <w:lvlJc w:val="left"/>
      <w:pPr>
        <w:tabs>
          <w:tab w:val="num" w:pos="1068"/>
        </w:tabs>
        <w:ind w:left="1068" w:hanging="360"/>
      </w:pPr>
      <w:rPr>
        <w:rFonts w:ascii="Symbol" w:hAnsi="Symbol" w:hint="default"/>
      </w:rPr>
    </w:lvl>
    <w:lvl w:ilvl="1" w:tplc="0C0A0003">
      <w:start w:val="1"/>
      <w:numFmt w:val="bullet"/>
      <w:lvlText w:val="o"/>
      <w:lvlJc w:val="left"/>
      <w:pPr>
        <w:tabs>
          <w:tab w:val="num" w:pos="1068"/>
        </w:tabs>
        <w:ind w:left="1068" w:hanging="360"/>
      </w:pPr>
      <w:rPr>
        <w:rFonts w:ascii="Courier New" w:hAnsi="Courier New" w:cs="Courier New" w:hint="default"/>
      </w:rPr>
    </w:lvl>
    <w:lvl w:ilvl="2" w:tplc="0C0A0005">
      <w:start w:val="1"/>
      <w:numFmt w:val="bullet"/>
      <w:lvlText w:val=""/>
      <w:lvlJc w:val="left"/>
      <w:pPr>
        <w:tabs>
          <w:tab w:val="num" w:pos="1788"/>
        </w:tabs>
        <w:ind w:left="1788" w:hanging="360"/>
      </w:pPr>
      <w:rPr>
        <w:rFonts w:ascii="Wingdings" w:hAnsi="Wingdings" w:hint="default"/>
      </w:rPr>
    </w:lvl>
    <w:lvl w:ilvl="3" w:tplc="0C0A0001">
      <w:start w:val="1"/>
      <w:numFmt w:val="bullet"/>
      <w:lvlText w:val=""/>
      <w:lvlJc w:val="left"/>
      <w:pPr>
        <w:tabs>
          <w:tab w:val="num" w:pos="2508"/>
        </w:tabs>
        <w:ind w:left="2508" w:hanging="360"/>
      </w:pPr>
      <w:rPr>
        <w:rFonts w:ascii="Symbol" w:hAnsi="Symbol" w:hint="default"/>
      </w:rPr>
    </w:lvl>
    <w:lvl w:ilvl="4" w:tplc="0C0A0003">
      <w:start w:val="1"/>
      <w:numFmt w:val="bullet"/>
      <w:lvlText w:val="o"/>
      <w:lvlJc w:val="left"/>
      <w:pPr>
        <w:tabs>
          <w:tab w:val="num" w:pos="3228"/>
        </w:tabs>
        <w:ind w:left="3228" w:hanging="360"/>
      </w:pPr>
      <w:rPr>
        <w:rFonts w:ascii="Courier New" w:hAnsi="Courier New" w:cs="Courier New" w:hint="default"/>
      </w:rPr>
    </w:lvl>
    <w:lvl w:ilvl="5" w:tplc="0C0A0005" w:tentative="1">
      <w:start w:val="1"/>
      <w:numFmt w:val="bullet"/>
      <w:lvlText w:val=""/>
      <w:lvlJc w:val="left"/>
      <w:pPr>
        <w:tabs>
          <w:tab w:val="num" w:pos="3948"/>
        </w:tabs>
        <w:ind w:left="3948" w:hanging="360"/>
      </w:pPr>
      <w:rPr>
        <w:rFonts w:ascii="Wingdings" w:hAnsi="Wingdings" w:hint="default"/>
      </w:rPr>
    </w:lvl>
    <w:lvl w:ilvl="6" w:tplc="0C0A0001" w:tentative="1">
      <w:start w:val="1"/>
      <w:numFmt w:val="bullet"/>
      <w:lvlText w:val=""/>
      <w:lvlJc w:val="left"/>
      <w:pPr>
        <w:tabs>
          <w:tab w:val="num" w:pos="4668"/>
        </w:tabs>
        <w:ind w:left="4668" w:hanging="360"/>
      </w:pPr>
      <w:rPr>
        <w:rFonts w:ascii="Symbol" w:hAnsi="Symbol" w:hint="default"/>
      </w:rPr>
    </w:lvl>
    <w:lvl w:ilvl="7" w:tplc="0C0A0003" w:tentative="1">
      <w:start w:val="1"/>
      <w:numFmt w:val="bullet"/>
      <w:lvlText w:val="o"/>
      <w:lvlJc w:val="left"/>
      <w:pPr>
        <w:tabs>
          <w:tab w:val="num" w:pos="5388"/>
        </w:tabs>
        <w:ind w:left="5388" w:hanging="360"/>
      </w:pPr>
      <w:rPr>
        <w:rFonts w:ascii="Courier New" w:hAnsi="Courier New" w:cs="Courier New" w:hint="default"/>
      </w:rPr>
    </w:lvl>
    <w:lvl w:ilvl="8" w:tplc="0C0A0005" w:tentative="1">
      <w:start w:val="1"/>
      <w:numFmt w:val="bullet"/>
      <w:lvlText w:val=""/>
      <w:lvlJc w:val="left"/>
      <w:pPr>
        <w:tabs>
          <w:tab w:val="num" w:pos="6108"/>
        </w:tabs>
        <w:ind w:left="6108" w:hanging="360"/>
      </w:pPr>
      <w:rPr>
        <w:rFonts w:ascii="Wingdings" w:hAnsi="Wingdings" w:hint="default"/>
      </w:rPr>
    </w:lvl>
  </w:abstractNum>
  <w:abstractNum w:abstractNumId="18">
    <w:nsid w:val="197F590D"/>
    <w:multiLevelType w:val="hybridMultilevel"/>
    <w:tmpl w:val="A59AA68A"/>
    <w:lvl w:ilvl="0" w:tplc="6F78D636">
      <w:start w:val="1"/>
      <w:numFmt w:val="bullet"/>
      <w:lvlText w:val="-"/>
      <w:lvlJc w:val="left"/>
      <w:pPr>
        <w:tabs>
          <w:tab w:val="num" w:pos="360"/>
        </w:tabs>
        <w:ind w:left="360" w:hanging="360"/>
      </w:pPr>
      <w:rPr>
        <w:rFonts w:ascii="Courier New" w:hAnsi="Courier New"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1C7F7521"/>
    <w:multiLevelType w:val="hybridMultilevel"/>
    <w:tmpl w:val="835CF258"/>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1D1E39B0"/>
    <w:multiLevelType w:val="hybridMultilevel"/>
    <w:tmpl w:val="B3429B7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1">
    <w:nsid w:val="225E1766"/>
    <w:multiLevelType w:val="hybridMultilevel"/>
    <w:tmpl w:val="D8B887CE"/>
    <w:lvl w:ilvl="0" w:tplc="0C0A0001">
      <w:start w:val="1"/>
      <w:numFmt w:val="bullet"/>
      <w:lvlText w:val=""/>
      <w:lvlJc w:val="left"/>
      <w:pPr>
        <w:tabs>
          <w:tab w:val="num" w:pos="1233"/>
        </w:tabs>
        <w:ind w:left="1233" w:hanging="360"/>
      </w:pPr>
      <w:rPr>
        <w:rFonts w:ascii="Symbol" w:hAnsi="Symbol" w:hint="default"/>
      </w:rPr>
    </w:lvl>
    <w:lvl w:ilvl="1" w:tplc="8F8EA656">
      <w:numFmt w:val="bullet"/>
      <w:lvlText w:val="-"/>
      <w:lvlJc w:val="left"/>
      <w:pPr>
        <w:ind w:left="1953" w:hanging="360"/>
      </w:pPr>
      <w:rPr>
        <w:rFonts w:ascii="Times New Roman" w:eastAsia="Times New Roman" w:hAnsi="Times New Roman" w:cs="Times New Roman" w:hint="default"/>
      </w:rPr>
    </w:lvl>
    <w:lvl w:ilvl="2" w:tplc="0C0A0005" w:tentative="1">
      <w:start w:val="1"/>
      <w:numFmt w:val="bullet"/>
      <w:lvlText w:val=""/>
      <w:lvlJc w:val="left"/>
      <w:pPr>
        <w:tabs>
          <w:tab w:val="num" w:pos="2673"/>
        </w:tabs>
        <w:ind w:left="2673" w:hanging="360"/>
      </w:pPr>
      <w:rPr>
        <w:rFonts w:ascii="Wingdings" w:hAnsi="Wingdings" w:hint="default"/>
      </w:rPr>
    </w:lvl>
    <w:lvl w:ilvl="3" w:tplc="0C0A0001" w:tentative="1">
      <w:start w:val="1"/>
      <w:numFmt w:val="bullet"/>
      <w:lvlText w:val=""/>
      <w:lvlJc w:val="left"/>
      <w:pPr>
        <w:tabs>
          <w:tab w:val="num" w:pos="3393"/>
        </w:tabs>
        <w:ind w:left="3393" w:hanging="360"/>
      </w:pPr>
      <w:rPr>
        <w:rFonts w:ascii="Symbol" w:hAnsi="Symbol" w:hint="default"/>
      </w:rPr>
    </w:lvl>
    <w:lvl w:ilvl="4" w:tplc="0C0A0003" w:tentative="1">
      <w:start w:val="1"/>
      <w:numFmt w:val="bullet"/>
      <w:lvlText w:val="o"/>
      <w:lvlJc w:val="left"/>
      <w:pPr>
        <w:tabs>
          <w:tab w:val="num" w:pos="4113"/>
        </w:tabs>
        <w:ind w:left="4113" w:hanging="360"/>
      </w:pPr>
      <w:rPr>
        <w:rFonts w:ascii="Courier New" w:hAnsi="Courier New" w:hint="default"/>
      </w:rPr>
    </w:lvl>
    <w:lvl w:ilvl="5" w:tplc="0C0A0005" w:tentative="1">
      <w:start w:val="1"/>
      <w:numFmt w:val="bullet"/>
      <w:lvlText w:val=""/>
      <w:lvlJc w:val="left"/>
      <w:pPr>
        <w:tabs>
          <w:tab w:val="num" w:pos="4833"/>
        </w:tabs>
        <w:ind w:left="4833" w:hanging="360"/>
      </w:pPr>
      <w:rPr>
        <w:rFonts w:ascii="Wingdings" w:hAnsi="Wingdings" w:hint="default"/>
      </w:rPr>
    </w:lvl>
    <w:lvl w:ilvl="6" w:tplc="0C0A0001" w:tentative="1">
      <w:start w:val="1"/>
      <w:numFmt w:val="bullet"/>
      <w:lvlText w:val=""/>
      <w:lvlJc w:val="left"/>
      <w:pPr>
        <w:tabs>
          <w:tab w:val="num" w:pos="5553"/>
        </w:tabs>
        <w:ind w:left="5553" w:hanging="360"/>
      </w:pPr>
      <w:rPr>
        <w:rFonts w:ascii="Symbol" w:hAnsi="Symbol" w:hint="default"/>
      </w:rPr>
    </w:lvl>
    <w:lvl w:ilvl="7" w:tplc="0C0A0003" w:tentative="1">
      <w:start w:val="1"/>
      <w:numFmt w:val="bullet"/>
      <w:lvlText w:val="o"/>
      <w:lvlJc w:val="left"/>
      <w:pPr>
        <w:tabs>
          <w:tab w:val="num" w:pos="6273"/>
        </w:tabs>
        <w:ind w:left="6273" w:hanging="360"/>
      </w:pPr>
      <w:rPr>
        <w:rFonts w:ascii="Courier New" w:hAnsi="Courier New" w:hint="default"/>
      </w:rPr>
    </w:lvl>
    <w:lvl w:ilvl="8" w:tplc="0C0A0005" w:tentative="1">
      <w:start w:val="1"/>
      <w:numFmt w:val="bullet"/>
      <w:lvlText w:val=""/>
      <w:lvlJc w:val="left"/>
      <w:pPr>
        <w:tabs>
          <w:tab w:val="num" w:pos="6993"/>
        </w:tabs>
        <w:ind w:left="6993" w:hanging="360"/>
      </w:pPr>
      <w:rPr>
        <w:rFonts w:ascii="Wingdings" w:hAnsi="Wingdings" w:hint="default"/>
      </w:rPr>
    </w:lvl>
  </w:abstractNum>
  <w:abstractNum w:abstractNumId="22">
    <w:nsid w:val="22E722F1"/>
    <w:multiLevelType w:val="hybridMultilevel"/>
    <w:tmpl w:val="543854F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23CC7A79"/>
    <w:multiLevelType w:val="hybridMultilevel"/>
    <w:tmpl w:val="725822F8"/>
    <w:lvl w:ilvl="0" w:tplc="1206C954">
      <w:start w:val="1"/>
      <w:numFmt w:val="lowerLetter"/>
      <w:lvlText w:val="%1."/>
      <w:lvlJc w:val="left"/>
      <w:pPr>
        <w:tabs>
          <w:tab w:val="num" w:pos="1593"/>
        </w:tabs>
        <w:ind w:left="1593" w:hanging="360"/>
      </w:pPr>
      <w:rPr>
        <w:rFonts w:hint="default"/>
      </w:rPr>
    </w:lvl>
    <w:lvl w:ilvl="1" w:tplc="0C0A0019" w:tentative="1">
      <w:start w:val="1"/>
      <w:numFmt w:val="lowerLetter"/>
      <w:lvlText w:val="%2."/>
      <w:lvlJc w:val="left"/>
      <w:pPr>
        <w:tabs>
          <w:tab w:val="num" w:pos="2313"/>
        </w:tabs>
        <w:ind w:left="2313" w:hanging="360"/>
      </w:pPr>
    </w:lvl>
    <w:lvl w:ilvl="2" w:tplc="0C0A001B" w:tentative="1">
      <w:start w:val="1"/>
      <w:numFmt w:val="lowerRoman"/>
      <w:lvlText w:val="%3."/>
      <w:lvlJc w:val="right"/>
      <w:pPr>
        <w:tabs>
          <w:tab w:val="num" w:pos="3033"/>
        </w:tabs>
        <w:ind w:left="3033" w:hanging="180"/>
      </w:pPr>
    </w:lvl>
    <w:lvl w:ilvl="3" w:tplc="0C0A000F" w:tentative="1">
      <w:start w:val="1"/>
      <w:numFmt w:val="decimal"/>
      <w:lvlText w:val="%4."/>
      <w:lvlJc w:val="left"/>
      <w:pPr>
        <w:tabs>
          <w:tab w:val="num" w:pos="3753"/>
        </w:tabs>
        <w:ind w:left="3753" w:hanging="360"/>
      </w:pPr>
    </w:lvl>
    <w:lvl w:ilvl="4" w:tplc="0C0A0019" w:tentative="1">
      <w:start w:val="1"/>
      <w:numFmt w:val="lowerLetter"/>
      <w:lvlText w:val="%5."/>
      <w:lvlJc w:val="left"/>
      <w:pPr>
        <w:tabs>
          <w:tab w:val="num" w:pos="4473"/>
        </w:tabs>
        <w:ind w:left="4473" w:hanging="360"/>
      </w:pPr>
    </w:lvl>
    <w:lvl w:ilvl="5" w:tplc="0C0A001B" w:tentative="1">
      <w:start w:val="1"/>
      <w:numFmt w:val="lowerRoman"/>
      <w:lvlText w:val="%6."/>
      <w:lvlJc w:val="right"/>
      <w:pPr>
        <w:tabs>
          <w:tab w:val="num" w:pos="5193"/>
        </w:tabs>
        <w:ind w:left="5193" w:hanging="180"/>
      </w:pPr>
    </w:lvl>
    <w:lvl w:ilvl="6" w:tplc="0C0A000F" w:tentative="1">
      <w:start w:val="1"/>
      <w:numFmt w:val="decimal"/>
      <w:lvlText w:val="%7."/>
      <w:lvlJc w:val="left"/>
      <w:pPr>
        <w:tabs>
          <w:tab w:val="num" w:pos="5913"/>
        </w:tabs>
        <w:ind w:left="5913" w:hanging="360"/>
      </w:pPr>
    </w:lvl>
    <w:lvl w:ilvl="7" w:tplc="0C0A0019" w:tentative="1">
      <w:start w:val="1"/>
      <w:numFmt w:val="lowerLetter"/>
      <w:lvlText w:val="%8."/>
      <w:lvlJc w:val="left"/>
      <w:pPr>
        <w:tabs>
          <w:tab w:val="num" w:pos="6633"/>
        </w:tabs>
        <w:ind w:left="6633" w:hanging="360"/>
      </w:pPr>
    </w:lvl>
    <w:lvl w:ilvl="8" w:tplc="0C0A001B" w:tentative="1">
      <w:start w:val="1"/>
      <w:numFmt w:val="lowerRoman"/>
      <w:lvlText w:val="%9."/>
      <w:lvlJc w:val="right"/>
      <w:pPr>
        <w:tabs>
          <w:tab w:val="num" w:pos="7353"/>
        </w:tabs>
        <w:ind w:left="7353" w:hanging="180"/>
      </w:pPr>
    </w:lvl>
  </w:abstractNum>
  <w:abstractNum w:abstractNumId="24">
    <w:nsid w:val="2483706A"/>
    <w:multiLevelType w:val="hybridMultilevel"/>
    <w:tmpl w:val="C3E0258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5">
    <w:nsid w:val="26E72AF8"/>
    <w:multiLevelType w:val="hybridMultilevel"/>
    <w:tmpl w:val="6040D36A"/>
    <w:lvl w:ilvl="0" w:tplc="0C0A0001">
      <w:start w:val="1"/>
      <w:numFmt w:val="bullet"/>
      <w:lvlText w:val=""/>
      <w:lvlJc w:val="left"/>
      <w:pPr>
        <w:tabs>
          <w:tab w:val="num" w:pos="1778"/>
        </w:tabs>
        <w:ind w:left="1778" w:hanging="360"/>
      </w:pPr>
      <w:rPr>
        <w:rFonts w:ascii="Symbol" w:hAnsi="Symbol" w:hint="default"/>
      </w:rPr>
    </w:lvl>
    <w:lvl w:ilvl="1" w:tplc="0C0A000F">
      <w:start w:val="1"/>
      <w:numFmt w:val="decimal"/>
      <w:lvlText w:val="%2."/>
      <w:lvlJc w:val="left"/>
      <w:pPr>
        <w:tabs>
          <w:tab w:val="num" w:pos="2365"/>
        </w:tabs>
        <w:ind w:left="2365" w:hanging="360"/>
      </w:pPr>
      <w:rPr>
        <w:rFonts w:hint="default"/>
      </w:rPr>
    </w:lvl>
    <w:lvl w:ilvl="2" w:tplc="0C0A000F">
      <w:start w:val="1"/>
      <w:numFmt w:val="decimal"/>
      <w:lvlText w:val="%3."/>
      <w:lvlJc w:val="left"/>
      <w:pPr>
        <w:tabs>
          <w:tab w:val="num" w:pos="3085"/>
        </w:tabs>
        <w:ind w:left="3085" w:hanging="360"/>
      </w:pPr>
      <w:rPr>
        <w:rFonts w:hint="default"/>
      </w:rPr>
    </w:lvl>
    <w:lvl w:ilvl="3" w:tplc="0C0A0001" w:tentative="1">
      <w:start w:val="1"/>
      <w:numFmt w:val="bullet"/>
      <w:lvlText w:val=""/>
      <w:lvlJc w:val="left"/>
      <w:pPr>
        <w:tabs>
          <w:tab w:val="num" w:pos="3805"/>
        </w:tabs>
        <w:ind w:left="3805" w:hanging="360"/>
      </w:pPr>
      <w:rPr>
        <w:rFonts w:ascii="Symbol" w:hAnsi="Symbol" w:hint="default"/>
      </w:rPr>
    </w:lvl>
    <w:lvl w:ilvl="4" w:tplc="0C0A0003" w:tentative="1">
      <w:start w:val="1"/>
      <w:numFmt w:val="bullet"/>
      <w:lvlText w:val="o"/>
      <w:lvlJc w:val="left"/>
      <w:pPr>
        <w:tabs>
          <w:tab w:val="num" w:pos="4525"/>
        </w:tabs>
        <w:ind w:left="4525" w:hanging="360"/>
      </w:pPr>
      <w:rPr>
        <w:rFonts w:ascii="Courier New" w:hAnsi="Courier New" w:hint="default"/>
      </w:rPr>
    </w:lvl>
    <w:lvl w:ilvl="5" w:tplc="0C0A0005" w:tentative="1">
      <w:start w:val="1"/>
      <w:numFmt w:val="bullet"/>
      <w:lvlText w:val=""/>
      <w:lvlJc w:val="left"/>
      <w:pPr>
        <w:tabs>
          <w:tab w:val="num" w:pos="5245"/>
        </w:tabs>
        <w:ind w:left="5245" w:hanging="360"/>
      </w:pPr>
      <w:rPr>
        <w:rFonts w:ascii="Wingdings" w:hAnsi="Wingdings" w:hint="default"/>
      </w:rPr>
    </w:lvl>
    <w:lvl w:ilvl="6" w:tplc="0C0A0001" w:tentative="1">
      <w:start w:val="1"/>
      <w:numFmt w:val="bullet"/>
      <w:lvlText w:val=""/>
      <w:lvlJc w:val="left"/>
      <w:pPr>
        <w:tabs>
          <w:tab w:val="num" w:pos="5965"/>
        </w:tabs>
        <w:ind w:left="5965" w:hanging="360"/>
      </w:pPr>
      <w:rPr>
        <w:rFonts w:ascii="Symbol" w:hAnsi="Symbol" w:hint="default"/>
      </w:rPr>
    </w:lvl>
    <w:lvl w:ilvl="7" w:tplc="0C0A0003" w:tentative="1">
      <w:start w:val="1"/>
      <w:numFmt w:val="bullet"/>
      <w:lvlText w:val="o"/>
      <w:lvlJc w:val="left"/>
      <w:pPr>
        <w:tabs>
          <w:tab w:val="num" w:pos="6685"/>
        </w:tabs>
        <w:ind w:left="6685" w:hanging="360"/>
      </w:pPr>
      <w:rPr>
        <w:rFonts w:ascii="Courier New" w:hAnsi="Courier New" w:hint="default"/>
      </w:rPr>
    </w:lvl>
    <w:lvl w:ilvl="8" w:tplc="0C0A0005" w:tentative="1">
      <w:start w:val="1"/>
      <w:numFmt w:val="bullet"/>
      <w:lvlText w:val=""/>
      <w:lvlJc w:val="left"/>
      <w:pPr>
        <w:tabs>
          <w:tab w:val="num" w:pos="7405"/>
        </w:tabs>
        <w:ind w:left="7405" w:hanging="360"/>
      </w:pPr>
      <w:rPr>
        <w:rFonts w:ascii="Wingdings" w:hAnsi="Wingdings" w:hint="default"/>
      </w:rPr>
    </w:lvl>
  </w:abstractNum>
  <w:abstractNum w:abstractNumId="26">
    <w:nsid w:val="28172CE9"/>
    <w:multiLevelType w:val="hybridMultilevel"/>
    <w:tmpl w:val="24289082"/>
    <w:lvl w:ilvl="0" w:tplc="0C0A0005">
      <w:start w:val="1"/>
      <w:numFmt w:val="bullet"/>
      <w:lvlText w:val=""/>
      <w:lvlJc w:val="left"/>
      <w:pPr>
        <w:tabs>
          <w:tab w:val="num" w:pos="1151"/>
        </w:tabs>
        <w:ind w:left="1151" w:hanging="360"/>
      </w:pPr>
      <w:rPr>
        <w:rFonts w:ascii="Wingdings" w:hAnsi="Wingdings" w:hint="default"/>
      </w:rPr>
    </w:lvl>
    <w:lvl w:ilvl="1" w:tplc="0C0A0003" w:tentative="1">
      <w:start w:val="1"/>
      <w:numFmt w:val="bullet"/>
      <w:lvlText w:val="o"/>
      <w:lvlJc w:val="left"/>
      <w:pPr>
        <w:tabs>
          <w:tab w:val="num" w:pos="1871"/>
        </w:tabs>
        <w:ind w:left="1871" w:hanging="360"/>
      </w:pPr>
      <w:rPr>
        <w:rFonts w:ascii="Courier New" w:hAnsi="Courier New" w:cs="Courier New" w:hint="default"/>
      </w:rPr>
    </w:lvl>
    <w:lvl w:ilvl="2" w:tplc="0C0A0005" w:tentative="1">
      <w:start w:val="1"/>
      <w:numFmt w:val="bullet"/>
      <w:lvlText w:val=""/>
      <w:lvlJc w:val="left"/>
      <w:pPr>
        <w:tabs>
          <w:tab w:val="num" w:pos="2591"/>
        </w:tabs>
        <w:ind w:left="2591" w:hanging="360"/>
      </w:pPr>
      <w:rPr>
        <w:rFonts w:ascii="Wingdings" w:hAnsi="Wingdings" w:hint="default"/>
      </w:rPr>
    </w:lvl>
    <w:lvl w:ilvl="3" w:tplc="0C0A0001" w:tentative="1">
      <w:start w:val="1"/>
      <w:numFmt w:val="bullet"/>
      <w:lvlText w:val=""/>
      <w:lvlJc w:val="left"/>
      <w:pPr>
        <w:tabs>
          <w:tab w:val="num" w:pos="3311"/>
        </w:tabs>
        <w:ind w:left="3311" w:hanging="360"/>
      </w:pPr>
      <w:rPr>
        <w:rFonts w:ascii="Symbol" w:hAnsi="Symbol" w:hint="default"/>
      </w:rPr>
    </w:lvl>
    <w:lvl w:ilvl="4" w:tplc="0C0A0003" w:tentative="1">
      <w:start w:val="1"/>
      <w:numFmt w:val="bullet"/>
      <w:lvlText w:val="o"/>
      <w:lvlJc w:val="left"/>
      <w:pPr>
        <w:tabs>
          <w:tab w:val="num" w:pos="4031"/>
        </w:tabs>
        <w:ind w:left="4031" w:hanging="360"/>
      </w:pPr>
      <w:rPr>
        <w:rFonts w:ascii="Courier New" w:hAnsi="Courier New" w:cs="Courier New" w:hint="default"/>
      </w:rPr>
    </w:lvl>
    <w:lvl w:ilvl="5" w:tplc="0C0A0005" w:tentative="1">
      <w:start w:val="1"/>
      <w:numFmt w:val="bullet"/>
      <w:lvlText w:val=""/>
      <w:lvlJc w:val="left"/>
      <w:pPr>
        <w:tabs>
          <w:tab w:val="num" w:pos="4751"/>
        </w:tabs>
        <w:ind w:left="4751" w:hanging="360"/>
      </w:pPr>
      <w:rPr>
        <w:rFonts w:ascii="Wingdings" w:hAnsi="Wingdings" w:hint="default"/>
      </w:rPr>
    </w:lvl>
    <w:lvl w:ilvl="6" w:tplc="0C0A0001" w:tentative="1">
      <w:start w:val="1"/>
      <w:numFmt w:val="bullet"/>
      <w:lvlText w:val=""/>
      <w:lvlJc w:val="left"/>
      <w:pPr>
        <w:tabs>
          <w:tab w:val="num" w:pos="5471"/>
        </w:tabs>
        <w:ind w:left="5471" w:hanging="360"/>
      </w:pPr>
      <w:rPr>
        <w:rFonts w:ascii="Symbol" w:hAnsi="Symbol" w:hint="default"/>
      </w:rPr>
    </w:lvl>
    <w:lvl w:ilvl="7" w:tplc="0C0A0003" w:tentative="1">
      <w:start w:val="1"/>
      <w:numFmt w:val="bullet"/>
      <w:lvlText w:val="o"/>
      <w:lvlJc w:val="left"/>
      <w:pPr>
        <w:tabs>
          <w:tab w:val="num" w:pos="6191"/>
        </w:tabs>
        <w:ind w:left="6191" w:hanging="360"/>
      </w:pPr>
      <w:rPr>
        <w:rFonts w:ascii="Courier New" w:hAnsi="Courier New" w:cs="Courier New" w:hint="default"/>
      </w:rPr>
    </w:lvl>
    <w:lvl w:ilvl="8" w:tplc="0C0A0005" w:tentative="1">
      <w:start w:val="1"/>
      <w:numFmt w:val="bullet"/>
      <w:lvlText w:val=""/>
      <w:lvlJc w:val="left"/>
      <w:pPr>
        <w:tabs>
          <w:tab w:val="num" w:pos="6911"/>
        </w:tabs>
        <w:ind w:left="6911" w:hanging="360"/>
      </w:pPr>
      <w:rPr>
        <w:rFonts w:ascii="Wingdings" w:hAnsi="Wingdings" w:hint="default"/>
      </w:rPr>
    </w:lvl>
  </w:abstractNum>
  <w:abstractNum w:abstractNumId="27">
    <w:nsid w:val="29AC6E0E"/>
    <w:multiLevelType w:val="multilevel"/>
    <w:tmpl w:val="EFF06E04"/>
    <w:lvl w:ilvl="0">
      <w:numFmt w:val="decimal"/>
      <w:pStyle w:val="Ttulo1"/>
      <w:lvlText w:val="%1"/>
      <w:lvlJc w:val="left"/>
      <w:pPr>
        <w:tabs>
          <w:tab w:val="num" w:pos="-60"/>
        </w:tabs>
        <w:ind w:left="-60" w:hanging="432"/>
      </w:pPr>
      <w:rPr>
        <w:rFonts w:hint="default"/>
      </w:rPr>
    </w:lvl>
    <w:lvl w:ilvl="1">
      <w:start w:val="1"/>
      <w:numFmt w:val="decimal"/>
      <w:pStyle w:val="Ttulo2"/>
      <w:lvlText w:val="%1.%2"/>
      <w:lvlJc w:val="left"/>
      <w:pPr>
        <w:tabs>
          <w:tab w:val="num" w:pos="84"/>
        </w:tabs>
        <w:ind w:left="84"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372"/>
        </w:tabs>
        <w:ind w:left="372" w:hanging="864"/>
      </w:pPr>
      <w:rPr>
        <w:rFonts w:hint="default"/>
      </w:rPr>
    </w:lvl>
    <w:lvl w:ilvl="4">
      <w:start w:val="1"/>
      <w:numFmt w:val="decimal"/>
      <w:pStyle w:val="Ttulo5"/>
      <w:lvlText w:val="%1.%2.%3.%4.%5"/>
      <w:lvlJc w:val="left"/>
      <w:pPr>
        <w:tabs>
          <w:tab w:val="num" w:pos="516"/>
        </w:tabs>
        <w:ind w:left="516" w:hanging="1008"/>
      </w:pPr>
      <w:rPr>
        <w:rFonts w:hint="default"/>
      </w:rPr>
    </w:lvl>
    <w:lvl w:ilvl="5">
      <w:start w:val="1"/>
      <w:numFmt w:val="decimal"/>
      <w:pStyle w:val="Ttulo6"/>
      <w:lvlText w:val="%1.%2.%3.%4.%5.%6"/>
      <w:lvlJc w:val="left"/>
      <w:pPr>
        <w:tabs>
          <w:tab w:val="num" w:pos="660"/>
        </w:tabs>
        <w:ind w:left="660" w:hanging="1152"/>
      </w:pPr>
      <w:rPr>
        <w:rFonts w:hint="default"/>
      </w:rPr>
    </w:lvl>
    <w:lvl w:ilvl="6">
      <w:start w:val="1"/>
      <w:numFmt w:val="decimal"/>
      <w:pStyle w:val="Ttulo7"/>
      <w:lvlText w:val="%1.%2.%3.%4.%5.%6.%7"/>
      <w:lvlJc w:val="left"/>
      <w:pPr>
        <w:tabs>
          <w:tab w:val="num" w:pos="804"/>
        </w:tabs>
        <w:ind w:left="804" w:hanging="1296"/>
      </w:pPr>
      <w:rPr>
        <w:rFonts w:hint="default"/>
      </w:rPr>
    </w:lvl>
    <w:lvl w:ilvl="7">
      <w:start w:val="1"/>
      <w:numFmt w:val="decimal"/>
      <w:pStyle w:val="Ttulo8"/>
      <w:lvlText w:val="%1.%2.%3.%4.%5.%6.%7.%8"/>
      <w:lvlJc w:val="left"/>
      <w:pPr>
        <w:tabs>
          <w:tab w:val="num" w:pos="948"/>
        </w:tabs>
        <w:ind w:left="948" w:hanging="1440"/>
      </w:pPr>
      <w:rPr>
        <w:rFonts w:hint="default"/>
      </w:rPr>
    </w:lvl>
    <w:lvl w:ilvl="8">
      <w:start w:val="1"/>
      <w:numFmt w:val="decimal"/>
      <w:pStyle w:val="Ttulo9"/>
      <w:lvlText w:val="%1.%2.%3.%4.%5.%6.%7.%8.%9"/>
      <w:lvlJc w:val="left"/>
      <w:pPr>
        <w:tabs>
          <w:tab w:val="num" w:pos="1092"/>
        </w:tabs>
        <w:ind w:left="1092" w:hanging="1584"/>
      </w:pPr>
      <w:rPr>
        <w:rFonts w:hint="default"/>
      </w:rPr>
    </w:lvl>
  </w:abstractNum>
  <w:abstractNum w:abstractNumId="28">
    <w:nsid w:val="2A3B6775"/>
    <w:multiLevelType w:val="hybridMultilevel"/>
    <w:tmpl w:val="A072C36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9">
    <w:nsid w:val="2AB51D28"/>
    <w:multiLevelType w:val="hybridMultilevel"/>
    <w:tmpl w:val="62CA6C08"/>
    <w:lvl w:ilvl="0" w:tplc="DBC6C7D2">
      <w:numFmt w:val="bullet"/>
      <w:lvlText w:val="-"/>
      <w:lvlJc w:val="left"/>
      <w:pPr>
        <w:tabs>
          <w:tab w:val="num" w:pos="1211"/>
        </w:tabs>
        <w:ind w:left="1211" w:hanging="360"/>
      </w:pPr>
      <w:rPr>
        <w:rFonts w:ascii="Garamond" w:eastAsia="Times New Roman" w:hAnsi="Garamond" w:cs="Times New Roman" w:hint="default"/>
      </w:rPr>
    </w:lvl>
    <w:lvl w:ilvl="1" w:tplc="94E6DAEA">
      <w:start w:val="1"/>
      <w:numFmt w:val="bullet"/>
      <w:lvlText w:val=""/>
      <w:lvlJc w:val="left"/>
      <w:pPr>
        <w:tabs>
          <w:tab w:val="num" w:pos="1440"/>
        </w:tabs>
        <w:ind w:left="1440" w:hanging="360"/>
      </w:pPr>
      <w:rPr>
        <w:rFonts w:ascii="Symbol" w:hAnsi="Symbol" w:hint="default"/>
      </w:rPr>
    </w:lvl>
    <w:lvl w:ilvl="2" w:tplc="6F78D636">
      <w:start w:val="1"/>
      <w:numFmt w:val="bullet"/>
      <w:lvlText w:val="-"/>
      <w:lvlJc w:val="left"/>
      <w:pPr>
        <w:tabs>
          <w:tab w:val="num" w:pos="2160"/>
        </w:tabs>
        <w:ind w:left="2160" w:hanging="360"/>
      </w:pPr>
      <w:rPr>
        <w:rFonts w:ascii="Courier New" w:hAnsi="Courier New"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2B3123D8"/>
    <w:multiLevelType w:val="hybridMultilevel"/>
    <w:tmpl w:val="78EA237C"/>
    <w:lvl w:ilvl="0" w:tplc="DBC6C7D2">
      <w:numFmt w:val="bullet"/>
      <w:lvlText w:val="-"/>
      <w:lvlJc w:val="left"/>
      <w:pPr>
        <w:tabs>
          <w:tab w:val="num" w:pos="1211"/>
        </w:tabs>
        <w:ind w:left="1211" w:hanging="360"/>
      </w:pPr>
      <w:rPr>
        <w:rFonts w:ascii="Garamond" w:eastAsia="Times New Roman" w:hAnsi="Garamond"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2E96619E"/>
    <w:multiLevelType w:val="hybridMultilevel"/>
    <w:tmpl w:val="5CD61732"/>
    <w:lvl w:ilvl="0" w:tplc="0C0A0005">
      <w:start w:val="1"/>
      <w:numFmt w:val="bullet"/>
      <w:lvlText w:val=""/>
      <w:lvlJc w:val="left"/>
      <w:pPr>
        <w:tabs>
          <w:tab w:val="num" w:pos="1151"/>
        </w:tabs>
        <w:ind w:left="1151" w:hanging="360"/>
      </w:pPr>
      <w:rPr>
        <w:rFonts w:ascii="Wingdings" w:hAnsi="Wingdings" w:hint="default"/>
      </w:rPr>
    </w:lvl>
    <w:lvl w:ilvl="1" w:tplc="0C0A0003" w:tentative="1">
      <w:start w:val="1"/>
      <w:numFmt w:val="bullet"/>
      <w:lvlText w:val="o"/>
      <w:lvlJc w:val="left"/>
      <w:pPr>
        <w:tabs>
          <w:tab w:val="num" w:pos="1871"/>
        </w:tabs>
        <w:ind w:left="1871" w:hanging="360"/>
      </w:pPr>
      <w:rPr>
        <w:rFonts w:ascii="Courier New" w:hAnsi="Courier New" w:cs="Courier New" w:hint="default"/>
      </w:rPr>
    </w:lvl>
    <w:lvl w:ilvl="2" w:tplc="0C0A0005" w:tentative="1">
      <w:start w:val="1"/>
      <w:numFmt w:val="bullet"/>
      <w:lvlText w:val=""/>
      <w:lvlJc w:val="left"/>
      <w:pPr>
        <w:tabs>
          <w:tab w:val="num" w:pos="2591"/>
        </w:tabs>
        <w:ind w:left="2591" w:hanging="360"/>
      </w:pPr>
      <w:rPr>
        <w:rFonts w:ascii="Wingdings" w:hAnsi="Wingdings" w:hint="default"/>
      </w:rPr>
    </w:lvl>
    <w:lvl w:ilvl="3" w:tplc="0C0A0001" w:tentative="1">
      <w:start w:val="1"/>
      <w:numFmt w:val="bullet"/>
      <w:lvlText w:val=""/>
      <w:lvlJc w:val="left"/>
      <w:pPr>
        <w:tabs>
          <w:tab w:val="num" w:pos="3311"/>
        </w:tabs>
        <w:ind w:left="3311" w:hanging="360"/>
      </w:pPr>
      <w:rPr>
        <w:rFonts w:ascii="Symbol" w:hAnsi="Symbol" w:hint="default"/>
      </w:rPr>
    </w:lvl>
    <w:lvl w:ilvl="4" w:tplc="0C0A0003" w:tentative="1">
      <w:start w:val="1"/>
      <w:numFmt w:val="bullet"/>
      <w:lvlText w:val="o"/>
      <w:lvlJc w:val="left"/>
      <w:pPr>
        <w:tabs>
          <w:tab w:val="num" w:pos="4031"/>
        </w:tabs>
        <w:ind w:left="4031" w:hanging="360"/>
      </w:pPr>
      <w:rPr>
        <w:rFonts w:ascii="Courier New" w:hAnsi="Courier New" w:cs="Courier New" w:hint="default"/>
      </w:rPr>
    </w:lvl>
    <w:lvl w:ilvl="5" w:tplc="0C0A0005" w:tentative="1">
      <w:start w:val="1"/>
      <w:numFmt w:val="bullet"/>
      <w:lvlText w:val=""/>
      <w:lvlJc w:val="left"/>
      <w:pPr>
        <w:tabs>
          <w:tab w:val="num" w:pos="4751"/>
        </w:tabs>
        <w:ind w:left="4751" w:hanging="360"/>
      </w:pPr>
      <w:rPr>
        <w:rFonts w:ascii="Wingdings" w:hAnsi="Wingdings" w:hint="default"/>
      </w:rPr>
    </w:lvl>
    <w:lvl w:ilvl="6" w:tplc="0C0A0001" w:tentative="1">
      <w:start w:val="1"/>
      <w:numFmt w:val="bullet"/>
      <w:lvlText w:val=""/>
      <w:lvlJc w:val="left"/>
      <w:pPr>
        <w:tabs>
          <w:tab w:val="num" w:pos="5471"/>
        </w:tabs>
        <w:ind w:left="5471" w:hanging="360"/>
      </w:pPr>
      <w:rPr>
        <w:rFonts w:ascii="Symbol" w:hAnsi="Symbol" w:hint="default"/>
      </w:rPr>
    </w:lvl>
    <w:lvl w:ilvl="7" w:tplc="0C0A0003" w:tentative="1">
      <w:start w:val="1"/>
      <w:numFmt w:val="bullet"/>
      <w:lvlText w:val="o"/>
      <w:lvlJc w:val="left"/>
      <w:pPr>
        <w:tabs>
          <w:tab w:val="num" w:pos="6191"/>
        </w:tabs>
        <w:ind w:left="6191" w:hanging="360"/>
      </w:pPr>
      <w:rPr>
        <w:rFonts w:ascii="Courier New" w:hAnsi="Courier New" w:cs="Courier New" w:hint="default"/>
      </w:rPr>
    </w:lvl>
    <w:lvl w:ilvl="8" w:tplc="0C0A0005" w:tentative="1">
      <w:start w:val="1"/>
      <w:numFmt w:val="bullet"/>
      <w:lvlText w:val=""/>
      <w:lvlJc w:val="left"/>
      <w:pPr>
        <w:tabs>
          <w:tab w:val="num" w:pos="6911"/>
        </w:tabs>
        <w:ind w:left="6911" w:hanging="360"/>
      </w:pPr>
      <w:rPr>
        <w:rFonts w:ascii="Wingdings" w:hAnsi="Wingdings" w:hint="default"/>
      </w:rPr>
    </w:lvl>
  </w:abstractNum>
  <w:abstractNum w:abstractNumId="32">
    <w:nsid w:val="324122B7"/>
    <w:multiLevelType w:val="hybridMultilevel"/>
    <w:tmpl w:val="FB06C04A"/>
    <w:lvl w:ilvl="0" w:tplc="0C0A0001">
      <w:start w:val="1"/>
      <w:numFmt w:val="bullet"/>
      <w:lvlText w:val=""/>
      <w:lvlJc w:val="left"/>
      <w:pPr>
        <w:tabs>
          <w:tab w:val="num" w:pos="1593"/>
        </w:tabs>
        <w:ind w:left="1593" w:hanging="360"/>
      </w:pPr>
      <w:rPr>
        <w:rFonts w:ascii="Symbol" w:hAnsi="Symbol" w:hint="default"/>
      </w:rPr>
    </w:lvl>
    <w:lvl w:ilvl="1" w:tplc="0C0A0003" w:tentative="1">
      <w:start w:val="1"/>
      <w:numFmt w:val="bullet"/>
      <w:lvlText w:val="o"/>
      <w:lvlJc w:val="left"/>
      <w:pPr>
        <w:tabs>
          <w:tab w:val="num" w:pos="2313"/>
        </w:tabs>
        <w:ind w:left="2313" w:hanging="360"/>
      </w:pPr>
      <w:rPr>
        <w:rFonts w:ascii="Courier New" w:hAnsi="Courier New" w:hint="default"/>
      </w:rPr>
    </w:lvl>
    <w:lvl w:ilvl="2" w:tplc="0C0A0005" w:tentative="1">
      <w:start w:val="1"/>
      <w:numFmt w:val="bullet"/>
      <w:lvlText w:val=""/>
      <w:lvlJc w:val="left"/>
      <w:pPr>
        <w:tabs>
          <w:tab w:val="num" w:pos="3033"/>
        </w:tabs>
        <w:ind w:left="3033" w:hanging="360"/>
      </w:pPr>
      <w:rPr>
        <w:rFonts w:ascii="Wingdings" w:hAnsi="Wingdings" w:hint="default"/>
      </w:rPr>
    </w:lvl>
    <w:lvl w:ilvl="3" w:tplc="0C0A0001" w:tentative="1">
      <w:start w:val="1"/>
      <w:numFmt w:val="bullet"/>
      <w:lvlText w:val=""/>
      <w:lvlJc w:val="left"/>
      <w:pPr>
        <w:tabs>
          <w:tab w:val="num" w:pos="3753"/>
        </w:tabs>
        <w:ind w:left="3753" w:hanging="360"/>
      </w:pPr>
      <w:rPr>
        <w:rFonts w:ascii="Symbol" w:hAnsi="Symbol" w:hint="default"/>
      </w:rPr>
    </w:lvl>
    <w:lvl w:ilvl="4" w:tplc="0C0A0003" w:tentative="1">
      <w:start w:val="1"/>
      <w:numFmt w:val="bullet"/>
      <w:lvlText w:val="o"/>
      <w:lvlJc w:val="left"/>
      <w:pPr>
        <w:tabs>
          <w:tab w:val="num" w:pos="4473"/>
        </w:tabs>
        <w:ind w:left="4473" w:hanging="360"/>
      </w:pPr>
      <w:rPr>
        <w:rFonts w:ascii="Courier New" w:hAnsi="Courier New" w:hint="default"/>
      </w:rPr>
    </w:lvl>
    <w:lvl w:ilvl="5" w:tplc="0C0A0005" w:tentative="1">
      <w:start w:val="1"/>
      <w:numFmt w:val="bullet"/>
      <w:lvlText w:val=""/>
      <w:lvlJc w:val="left"/>
      <w:pPr>
        <w:tabs>
          <w:tab w:val="num" w:pos="5193"/>
        </w:tabs>
        <w:ind w:left="5193" w:hanging="360"/>
      </w:pPr>
      <w:rPr>
        <w:rFonts w:ascii="Wingdings" w:hAnsi="Wingdings" w:hint="default"/>
      </w:rPr>
    </w:lvl>
    <w:lvl w:ilvl="6" w:tplc="0C0A0001" w:tentative="1">
      <w:start w:val="1"/>
      <w:numFmt w:val="bullet"/>
      <w:lvlText w:val=""/>
      <w:lvlJc w:val="left"/>
      <w:pPr>
        <w:tabs>
          <w:tab w:val="num" w:pos="5913"/>
        </w:tabs>
        <w:ind w:left="5913" w:hanging="360"/>
      </w:pPr>
      <w:rPr>
        <w:rFonts w:ascii="Symbol" w:hAnsi="Symbol" w:hint="default"/>
      </w:rPr>
    </w:lvl>
    <w:lvl w:ilvl="7" w:tplc="0C0A0003" w:tentative="1">
      <w:start w:val="1"/>
      <w:numFmt w:val="bullet"/>
      <w:lvlText w:val="o"/>
      <w:lvlJc w:val="left"/>
      <w:pPr>
        <w:tabs>
          <w:tab w:val="num" w:pos="6633"/>
        </w:tabs>
        <w:ind w:left="6633" w:hanging="360"/>
      </w:pPr>
      <w:rPr>
        <w:rFonts w:ascii="Courier New" w:hAnsi="Courier New" w:hint="default"/>
      </w:rPr>
    </w:lvl>
    <w:lvl w:ilvl="8" w:tplc="0C0A0005" w:tentative="1">
      <w:start w:val="1"/>
      <w:numFmt w:val="bullet"/>
      <w:lvlText w:val=""/>
      <w:lvlJc w:val="left"/>
      <w:pPr>
        <w:tabs>
          <w:tab w:val="num" w:pos="7353"/>
        </w:tabs>
        <w:ind w:left="7353" w:hanging="360"/>
      </w:pPr>
      <w:rPr>
        <w:rFonts w:ascii="Wingdings" w:hAnsi="Wingdings" w:hint="default"/>
      </w:rPr>
    </w:lvl>
  </w:abstractNum>
  <w:abstractNum w:abstractNumId="33">
    <w:nsid w:val="33B42C6C"/>
    <w:multiLevelType w:val="hybridMultilevel"/>
    <w:tmpl w:val="B98A8870"/>
    <w:lvl w:ilvl="0" w:tplc="6F78D636">
      <w:start w:val="1"/>
      <w:numFmt w:val="bullet"/>
      <w:lvlText w:val="-"/>
      <w:lvlJc w:val="left"/>
      <w:pPr>
        <w:tabs>
          <w:tab w:val="num" w:pos="1358"/>
        </w:tabs>
        <w:ind w:left="1358" w:hanging="360"/>
      </w:pPr>
      <w:rPr>
        <w:rFonts w:ascii="Courier New" w:hAnsi="Courier New" w:hint="default"/>
      </w:rPr>
    </w:lvl>
    <w:lvl w:ilvl="1" w:tplc="0C0A0003" w:tentative="1">
      <w:start w:val="1"/>
      <w:numFmt w:val="bullet"/>
      <w:lvlText w:val="o"/>
      <w:lvlJc w:val="left"/>
      <w:pPr>
        <w:tabs>
          <w:tab w:val="num" w:pos="2438"/>
        </w:tabs>
        <w:ind w:left="2438" w:hanging="360"/>
      </w:pPr>
      <w:rPr>
        <w:rFonts w:ascii="Courier New" w:hAnsi="Courier New" w:cs="Courier New" w:hint="default"/>
      </w:rPr>
    </w:lvl>
    <w:lvl w:ilvl="2" w:tplc="0C0A0005" w:tentative="1">
      <w:start w:val="1"/>
      <w:numFmt w:val="bullet"/>
      <w:lvlText w:val=""/>
      <w:lvlJc w:val="left"/>
      <w:pPr>
        <w:tabs>
          <w:tab w:val="num" w:pos="3158"/>
        </w:tabs>
        <w:ind w:left="3158" w:hanging="360"/>
      </w:pPr>
      <w:rPr>
        <w:rFonts w:ascii="Wingdings" w:hAnsi="Wingdings" w:hint="default"/>
      </w:rPr>
    </w:lvl>
    <w:lvl w:ilvl="3" w:tplc="0C0A0001" w:tentative="1">
      <w:start w:val="1"/>
      <w:numFmt w:val="bullet"/>
      <w:lvlText w:val=""/>
      <w:lvlJc w:val="left"/>
      <w:pPr>
        <w:tabs>
          <w:tab w:val="num" w:pos="3878"/>
        </w:tabs>
        <w:ind w:left="3878" w:hanging="360"/>
      </w:pPr>
      <w:rPr>
        <w:rFonts w:ascii="Symbol" w:hAnsi="Symbol" w:hint="default"/>
      </w:rPr>
    </w:lvl>
    <w:lvl w:ilvl="4" w:tplc="0C0A0003" w:tentative="1">
      <w:start w:val="1"/>
      <w:numFmt w:val="bullet"/>
      <w:lvlText w:val="o"/>
      <w:lvlJc w:val="left"/>
      <w:pPr>
        <w:tabs>
          <w:tab w:val="num" w:pos="4598"/>
        </w:tabs>
        <w:ind w:left="4598" w:hanging="360"/>
      </w:pPr>
      <w:rPr>
        <w:rFonts w:ascii="Courier New" w:hAnsi="Courier New" w:cs="Courier New" w:hint="default"/>
      </w:rPr>
    </w:lvl>
    <w:lvl w:ilvl="5" w:tplc="0C0A0005" w:tentative="1">
      <w:start w:val="1"/>
      <w:numFmt w:val="bullet"/>
      <w:lvlText w:val=""/>
      <w:lvlJc w:val="left"/>
      <w:pPr>
        <w:tabs>
          <w:tab w:val="num" w:pos="5318"/>
        </w:tabs>
        <w:ind w:left="5318" w:hanging="360"/>
      </w:pPr>
      <w:rPr>
        <w:rFonts w:ascii="Wingdings" w:hAnsi="Wingdings" w:hint="default"/>
      </w:rPr>
    </w:lvl>
    <w:lvl w:ilvl="6" w:tplc="0C0A0001" w:tentative="1">
      <w:start w:val="1"/>
      <w:numFmt w:val="bullet"/>
      <w:lvlText w:val=""/>
      <w:lvlJc w:val="left"/>
      <w:pPr>
        <w:tabs>
          <w:tab w:val="num" w:pos="6038"/>
        </w:tabs>
        <w:ind w:left="6038" w:hanging="360"/>
      </w:pPr>
      <w:rPr>
        <w:rFonts w:ascii="Symbol" w:hAnsi="Symbol" w:hint="default"/>
      </w:rPr>
    </w:lvl>
    <w:lvl w:ilvl="7" w:tplc="0C0A0003" w:tentative="1">
      <w:start w:val="1"/>
      <w:numFmt w:val="bullet"/>
      <w:lvlText w:val="o"/>
      <w:lvlJc w:val="left"/>
      <w:pPr>
        <w:tabs>
          <w:tab w:val="num" w:pos="6758"/>
        </w:tabs>
        <w:ind w:left="6758" w:hanging="360"/>
      </w:pPr>
      <w:rPr>
        <w:rFonts w:ascii="Courier New" w:hAnsi="Courier New" w:cs="Courier New" w:hint="default"/>
      </w:rPr>
    </w:lvl>
    <w:lvl w:ilvl="8" w:tplc="0C0A0005" w:tentative="1">
      <w:start w:val="1"/>
      <w:numFmt w:val="bullet"/>
      <w:lvlText w:val=""/>
      <w:lvlJc w:val="left"/>
      <w:pPr>
        <w:tabs>
          <w:tab w:val="num" w:pos="7478"/>
        </w:tabs>
        <w:ind w:left="7478" w:hanging="360"/>
      </w:pPr>
      <w:rPr>
        <w:rFonts w:ascii="Wingdings" w:hAnsi="Wingdings" w:hint="default"/>
      </w:rPr>
    </w:lvl>
  </w:abstractNum>
  <w:abstractNum w:abstractNumId="34">
    <w:nsid w:val="33E91E51"/>
    <w:multiLevelType w:val="hybridMultilevel"/>
    <w:tmpl w:val="2C7E6C4E"/>
    <w:lvl w:ilvl="0" w:tplc="225A5046">
      <w:start w:val="1"/>
      <w:numFmt w:val="bullet"/>
      <w:pStyle w:val="ComentarioL1"/>
      <w:lvlText w:val=""/>
      <w:lvlJc w:val="left"/>
      <w:pPr>
        <w:tabs>
          <w:tab w:val="num" w:pos="718"/>
        </w:tabs>
        <w:ind w:left="718" w:hanging="360"/>
      </w:pPr>
      <w:rPr>
        <w:rFonts w:ascii="Symbol" w:hAnsi="Symbol" w:hint="default"/>
      </w:rPr>
    </w:lvl>
    <w:lvl w:ilvl="1" w:tplc="E42E7B56">
      <w:start w:val="1"/>
      <w:numFmt w:val="bullet"/>
      <w:lvlText w:val="o"/>
      <w:lvlJc w:val="left"/>
      <w:pPr>
        <w:tabs>
          <w:tab w:val="num" w:pos="1438"/>
        </w:tabs>
        <w:ind w:left="1438" w:hanging="360"/>
      </w:pPr>
      <w:rPr>
        <w:rFonts w:ascii="Courier New" w:hAnsi="Courier New" w:hint="default"/>
      </w:rPr>
    </w:lvl>
    <w:lvl w:ilvl="2" w:tplc="16620A68" w:tentative="1">
      <w:start w:val="1"/>
      <w:numFmt w:val="bullet"/>
      <w:lvlText w:val=""/>
      <w:lvlJc w:val="left"/>
      <w:pPr>
        <w:tabs>
          <w:tab w:val="num" w:pos="2158"/>
        </w:tabs>
        <w:ind w:left="2158" w:hanging="360"/>
      </w:pPr>
      <w:rPr>
        <w:rFonts w:ascii="Wingdings" w:hAnsi="Wingdings" w:hint="default"/>
      </w:rPr>
    </w:lvl>
    <w:lvl w:ilvl="3" w:tplc="BC8254A6">
      <w:start w:val="1"/>
      <w:numFmt w:val="bullet"/>
      <w:lvlText w:val=""/>
      <w:lvlJc w:val="left"/>
      <w:pPr>
        <w:tabs>
          <w:tab w:val="num" w:pos="2878"/>
        </w:tabs>
        <w:ind w:left="2878" w:hanging="360"/>
      </w:pPr>
      <w:rPr>
        <w:rFonts w:ascii="Symbol" w:hAnsi="Symbol" w:hint="default"/>
      </w:rPr>
    </w:lvl>
    <w:lvl w:ilvl="4" w:tplc="F8E2ABC4" w:tentative="1">
      <w:start w:val="1"/>
      <w:numFmt w:val="bullet"/>
      <w:lvlText w:val="o"/>
      <w:lvlJc w:val="left"/>
      <w:pPr>
        <w:tabs>
          <w:tab w:val="num" w:pos="3598"/>
        </w:tabs>
        <w:ind w:left="3598" w:hanging="360"/>
      </w:pPr>
      <w:rPr>
        <w:rFonts w:ascii="Courier New" w:hAnsi="Courier New" w:hint="default"/>
      </w:rPr>
    </w:lvl>
    <w:lvl w:ilvl="5" w:tplc="037854A0" w:tentative="1">
      <w:start w:val="1"/>
      <w:numFmt w:val="bullet"/>
      <w:lvlText w:val=""/>
      <w:lvlJc w:val="left"/>
      <w:pPr>
        <w:tabs>
          <w:tab w:val="num" w:pos="4318"/>
        </w:tabs>
        <w:ind w:left="4318" w:hanging="360"/>
      </w:pPr>
      <w:rPr>
        <w:rFonts w:ascii="Wingdings" w:hAnsi="Wingdings" w:hint="default"/>
      </w:rPr>
    </w:lvl>
    <w:lvl w:ilvl="6" w:tplc="CDD6390C" w:tentative="1">
      <w:start w:val="1"/>
      <w:numFmt w:val="bullet"/>
      <w:lvlText w:val=""/>
      <w:lvlJc w:val="left"/>
      <w:pPr>
        <w:tabs>
          <w:tab w:val="num" w:pos="5038"/>
        </w:tabs>
        <w:ind w:left="5038" w:hanging="360"/>
      </w:pPr>
      <w:rPr>
        <w:rFonts w:ascii="Symbol" w:hAnsi="Symbol" w:hint="default"/>
      </w:rPr>
    </w:lvl>
    <w:lvl w:ilvl="7" w:tplc="D8E8CE2A" w:tentative="1">
      <w:start w:val="1"/>
      <w:numFmt w:val="bullet"/>
      <w:lvlText w:val="o"/>
      <w:lvlJc w:val="left"/>
      <w:pPr>
        <w:tabs>
          <w:tab w:val="num" w:pos="5758"/>
        </w:tabs>
        <w:ind w:left="5758" w:hanging="360"/>
      </w:pPr>
      <w:rPr>
        <w:rFonts w:ascii="Courier New" w:hAnsi="Courier New" w:hint="default"/>
      </w:rPr>
    </w:lvl>
    <w:lvl w:ilvl="8" w:tplc="D8CA3D04" w:tentative="1">
      <w:start w:val="1"/>
      <w:numFmt w:val="bullet"/>
      <w:lvlText w:val=""/>
      <w:lvlJc w:val="left"/>
      <w:pPr>
        <w:tabs>
          <w:tab w:val="num" w:pos="6478"/>
        </w:tabs>
        <w:ind w:left="6478" w:hanging="360"/>
      </w:pPr>
      <w:rPr>
        <w:rFonts w:ascii="Wingdings" w:hAnsi="Wingdings" w:hint="default"/>
      </w:rPr>
    </w:lvl>
  </w:abstractNum>
  <w:abstractNum w:abstractNumId="35">
    <w:nsid w:val="345F6DA4"/>
    <w:multiLevelType w:val="hybridMultilevel"/>
    <w:tmpl w:val="0414E0FA"/>
    <w:lvl w:ilvl="0" w:tplc="6F78D636">
      <w:start w:val="1"/>
      <w:numFmt w:val="bullet"/>
      <w:lvlText w:val="-"/>
      <w:lvlJc w:val="left"/>
      <w:pPr>
        <w:tabs>
          <w:tab w:val="num" w:pos="1358"/>
        </w:tabs>
        <w:ind w:left="1358" w:hanging="360"/>
      </w:pPr>
      <w:rPr>
        <w:rFonts w:ascii="Courier New" w:hAnsi="Courier New" w:hint="default"/>
      </w:rPr>
    </w:lvl>
    <w:lvl w:ilvl="1" w:tplc="0C0A0003" w:tentative="1">
      <w:start w:val="1"/>
      <w:numFmt w:val="bullet"/>
      <w:lvlText w:val="o"/>
      <w:lvlJc w:val="left"/>
      <w:pPr>
        <w:tabs>
          <w:tab w:val="num" w:pos="2438"/>
        </w:tabs>
        <w:ind w:left="2438" w:hanging="360"/>
      </w:pPr>
      <w:rPr>
        <w:rFonts w:ascii="Courier New" w:hAnsi="Courier New" w:cs="Courier New" w:hint="default"/>
      </w:rPr>
    </w:lvl>
    <w:lvl w:ilvl="2" w:tplc="0C0A0005" w:tentative="1">
      <w:start w:val="1"/>
      <w:numFmt w:val="bullet"/>
      <w:lvlText w:val=""/>
      <w:lvlJc w:val="left"/>
      <w:pPr>
        <w:tabs>
          <w:tab w:val="num" w:pos="3158"/>
        </w:tabs>
        <w:ind w:left="3158" w:hanging="360"/>
      </w:pPr>
      <w:rPr>
        <w:rFonts w:ascii="Wingdings" w:hAnsi="Wingdings" w:hint="default"/>
      </w:rPr>
    </w:lvl>
    <w:lvl w:ilvl="3" w:tplc="0C0A0001" w:tentative="1">
      <w:start w:val="1"/>
      <w:numFmt w:val="bullet"/>
      <w:lvlText w:val=""/>
      <w:lvlJc w:val="left"/>
      <w:pPr>
        <w:tabs>
          <w:tab w:val="num" w:pos="3878"/>
        </w:tabs>
        <w:ind w:left="3878" w:hanging="360"/>
      </w:pPr>
      <w:rPr>
        <w:rFonts w:ascii="Symbol" w:hAnsi="Symbol" w:hint="default"/>
      </w:rPr>
    </w:lvl>
    <w:lvl w:ilvl="4" w:tplc="0C0A0003" w:tentative="1">
      <w:start w:val="1"/>
      <w:numFmt w:val="bullet"/>
      <w:lvlText w:val="o"/>
      <w:lvlJc w:val="left"/>
      <w:pPr>
        <w:tabs>
          <w:tab w:val="num" w:pos="4598"/>
        </w:tabs>
        <w:ind w:left="4598" w:hanging="360"/>
      </w:pPr>
      <w:rPr>
        <w:rFonts w:ascii="Courier New" w:hAnsi="Courier New" w:cs="Courier New" w:hint="default"/>
      </w:rPr>
    </w:lvl>
    <w:lvl w:ilvl="5" w:tplc="0C0A0005" w:tentative="1">
      <w:start w:val="1"/>
      <w:numFmt w:val="bullet"/>
      <w:lvlText w:val=""/>
      <w:lvlJc w:val="left"/>
      <w:pPr>
        <w:tabs>
          <w:tab w:val="num" w:pos="5318"/>
        </w:tabs>
        <w:ind w:left="5318" w:hanging="360"/>
      </w:pPr>
      <w:rPr>
        <w:rFonts w:ascii="Wingdings" w:hAnsi="Wingdings" w:hint="default"/>
      </w:rPr>
    </w:lvl>
    <w:lvl w:ilvl="6" w:tplc="0C0A0001" w:tentative="1">
      <w:start w:val="1"/>
      <w:numFmt w:val="bullet"/>
      <w:lvlText w:val=""/>
      <w:lvlJc w:val="left"/>
      <w:pPr>
        <w:tabs>
          <w:tab w:val="num" w:pos="6038"/>
        </w:tabs>
        <w:ind w:left="6038" w:hanging="360"/>
      </w:pPr>
      <w:rPr>
        <w:rFonts w:ascii="Symbol" w:hAnsi="Symbol" w:hint="default"/>
      </w:rPr>
    </w:lvl>
    <w:lvl w:ilvl="7" w:tplc="0C0A0003" w:tentative="1">
      <w:start w:val="1"/>
      <w:numFmt w:val="bullet"/>
      <w:lvlText w:val="o"/>
      <w:lvlJc w:val="left"/>
      <w:pPr>
        <w:tabs>
          <w:tab w:val="num" w:pos="6758"/>
        </w:tabs>
        <w:ind w:left="6758" w:hanging="360"/>
      </w:pPr>
      <w:rPr>
        <w:rFonts w:ascii="Courier New" w:hAnsi="Courier New" w:cs="Courier New" w:hint="default"/>
      </w:rPr>
    </w:lvl>
    <w:lvl w:ilvl="8" w:tplc="0C0A0005" w:tentative="1">
      <w:start w:val="1"/>
      <w:numFmt w:val="bullet"/>
      <w:lvlText w:val=""/>
      <w:lvlJc w:val="left"/>
      <w:pPr>
        <w:tabs>
          <w:tab w:val="num" w:pos="7478"/>
        </w:tabs>
        <w:ind w:left="7478" w:hanging="360"/>
      </w:pPr>
      <w:rPr>
        <w:rFonts w:ascii="Wingdings" w:hAnsi="Wingdings" w:hint="default"/>
      </w:rPr>
    </w:lvl>
  </w:abstractNum>
  <w:abstractNum w:abstractNumId="36">
    <w:nsid w:val="35762C22"/>
    <w:multiLevelType w:val="hybridMultilevel"/>
    <w:tmpl w:val="8B76B7F8"/>
    <w:lvl w:ilvl="0" w:tplc="DBC6C7D2">
      <w:numFmt w:val="bullet"/>
      <w:lvlText w:val="-"/>
      <w:lvlJc w:val="left"/>
      <w:pPr>
        <w:tabs>
          <w:tab w:val="num" w:pos="1426"/>
        </w:tabs>
        <w:ind w:left="1426" w:hanging="360"/>
      </w:pPr>
      <w:rPr>
        <w:rFonts w:ascii="Garamond" w:eastAsia="Times New Roman" w:hAnsi="Garamond" w:cs="Times New Roman" w:hint="default"/>
      </w:rPr>
    </w:lvl>
    <w:lvl w:ilvl="1" w:tplc="0C0A0003">
      <w:start w:val="1"/>
      <w:numFmt w:val="bullet"/>
      <w:lvlText w:val="o"/>
      <w:lvlJc w:val="left"/>
      <w:pPr>
        <w:tabs>
          <w:tab w:val="num" w:pos="1437"/>
        </w:tabs>
        <w:ind w:left="1437" w:hanging="360"/>
      </w:pPr>
      <w:rPr>
        <w:rFonts w:ascii="Courier New" w:hAnsi="Courier New" w:cs="Courier New" w:hint="default"/>
      </w:rPr>
    </w:lvl>
    <w:lvl w:ilvl="2" w:tplc="0C0A0005">
      <w:start w:val="1"/>
      <w:numFmt w:val="bullet"/>
      <w:lvlText w:val=""/>
      <w:lvlJc w:val="left"/>
      <w:pPr>
        <w:tabs>
          <w:tab w:val="num" w:pos="2157"/>
        </w:tabs>
        <w:ind w:left="2157" w:hanging="360"/>
      </w:pPr>
      <w:rPr>
        <w:rFonts w:ascii="Wingdings" w:hAnsi="Wingdings" w:hint="default"/>
      </w:rPr>
    </w:lvl>
    <w:lvl w:ilvl="3" w:tplc="0C0A0001" w:tentative="1">
      <w:start w:val="1"/>
      <w:numFmt w:val="bullet"/>
      <w:lvlText w:val=""/>
      <w:lvlJc w:val="left"/>
      <w:pPr>
        <w:tabs>
          <w:tab w:val="num" w:pos="2877"/>
        </w:tabs>
        <w:ind w:left="2877" w:hanging="360"/>
      </w:pPr>
      <w:rPr>
        <w:rFonts w:ascii="Symbol" w:hAnsi="Symbol" w:hint="default"/>
      </w:rPr>
    </w:lvl>
    <w:lvl w:ilvl="4" w:tplc="0C0A0003" w:tentative="1">
      <w:start w:val="1"/>
      <w:numFmt w:val="bullet"/>
      <w:lvlText w:val="o"/>
      <w:lvlJc w:val="left"/>
      <w:pPr>
        <w:tabs>
          <w:tab w:val="num" w:pos="3597"/>
        </w:tabs>
        <w:ind w:left="3597" w:hanging="360"/>
      </w:pPr>
      <w:rPr>
        <w:rFonts w:ascii="Courier New" w:hAnsi="Courier New" w:cs="Courier New" w:hint="default"/>
      </w:rPr>
    </w:lvl>
    <w:lvl w:ilvl="5" w:tplc="0C0A0005" w:tentative="1">
      <w:start w:val="1"/>
      <w:numFmt w:val="bullet"/>
      <w:lvlText w:val=""/>
      <w:lvlJc w:val="left"/>
      <w:pPr>
        <w:tabs>
          <w:tab w:val="num" w:pos="4317"/>
        </w:tabs>
        <w:ind w:left="4317" w:hanging="360"/>
      </w:pPr>
      <w:rPr>
        <w:rFonts w:ascii="Wingdings" w:hAnsi="Wingdings" w:hint="default"/>
      </w:rPr>
    </w:lvl>
    <w:lvl w:ilvl="6" w:tplc="0C0A0001" w:tentative="1">
      <w:start w:val="1"/>
      <w:numFmt w:val="bullet"/>
      <w:lvlText w:val=""/>
      <w:lvlJc w:val="left"/>
      <w:pPr>
        <w:tabs>
          <w:tab w:val="num" w:pos="5037"/>
        </w:tabs>
        <w:ind w:left="5037" w:hanging="360"/>
      </w:pPr>
      <w:rPr>
        <w:rFonts w:ascii="Symbol" w:hAnsi="Symbol" w:hint="default"/>
      </w:rPr>
    </w:lvl>
    <w:lvl w:ilvl="7" w:tplc="0C0A0003" w:tentative="1">
      <w:start w:val="1"/>
      <w:numFmt w:val="bullet"/>
      <w:lvlText w:val="o"/>
      <w:lvlJc w:val="left"/>
      <w:pPr>
        <w:tabs>
          <w:tab w:val="num" w:pos="5757"/>
        </w:tabs>
        <w:ind w:left="5757" w:hanging="360"/>
      </w:pPr>
      <w:rPr>
        <w:rFonts w:ascii="Courier New" w:hAnsi="Courier New" w:cs="Courier New" w:hint="default"/>
      </w:rPr>
    </w:lvl>
    <w:lvl w:ilvl="8" w:tplc="0C0A0005" w:tentative="1">
      <w:start w:val="1"/>
      <w:numFmt w:val="bullet"/>
      <w:lvlText w:val=""/>
      <w:lvlJc w:val="left"/>
      <w:pPr>
        <w:tabs>
          <w:tab w:val="num" w:pos="6477"/>
        </w:tabs>
        <w:ind w:left="6477" w:hanging="360"/>
      </w:pPr>
      <w:rPr>
        <w:rFonts w:ascii="Wingdings" w:hAnsi="Wingdings" w:hint="default"/>
      </w:rPr>
    </w:lvl>
  </w:abstractNum>
  <w:abstractNum w:abstractNumId="37">
    <w:nsid w:val="35B222E0"/>
    <w:multiLevelType w:val="hybridMultilevel"/>
    <w:tmpl w:val="431011CE"/>
    <w:lvl w:ilvl="0" w:tplc="E7266016">
      <w:start w:val="1"/>
      <w:numFmt w:val="decimal"/>
      <w:lvlText w:val="%1."/>
      <w:lvlJc w:val="left"/>
      <w:pPr>
        <w:tabs>
          <w:tab w:val="num" w:pos="1932"/>
        </w:tabs>
        <w:ind w:left="1932" w:hanging="360"/>
      </w:pPr>
      <w:rPr>
        <w:rFonts w:hint="default"/>
      </w:rPr>
    </w:lvl>
    <w:lvl w:ilvl="1" w:tplc="0C0A0019" w:tentative="1">
      <w:start w:val="1"/>
      <w:numFmt w:val="lowerLetter"/>
      <w:lvlText w:val="%2."/>
      <w:lvlJc w:val="left"/>
      <w:pPr>
        <w:tabs>
          <w:tab w:val="num" w:pos="1594"/>
        </w:tabs>
        <w:ind w:left="1594" w:hanging="360"/>
      </w:pPr>
    </w:lvl>
    <w:lvl w:ilvl="2" w:tplc="0C0A001B" w:tentative="1">
      <w:start w:val="1"/>
      <w:numFmt w:val="lowerRoman"/>
      <w:lvlText w:val="%3."/>
      <w:lvlJc w:val="right"/>
      <w:pPr>
        <w:tabs>
          <w:tab w:val="num" w:pos="2314"/>
        </w:tabs>
        <w:ind w:left="2314" w:hanging="180"/>
      </w:pPr>
    </w:lvl>
    <w:lvl w:ilvl="3" w:tplc="0C0A000F" w:tentative="1">
      <w:start w:val="1"/>
      <w:numFmt w:val="decimal"/>
      <w:lvlText w:val="%4."/>
      <w:lvlJc w:val="left"/>
      <w:pPr>
        <w:tabs>
          <w:tab w:val="num" w:pos="3034"/>
        </w:tabs>
        <w:ind w:left="3034" w:hanging="360"/>
      </w:pPr>
    </w:lvl>
    <w:lvl w:ilvl="4" w:tplc="0C0A0019" w:tentative="1">
      <w:start w:val="1"/>
      <w:numFmt w:val="lowerLetter"/>
      <w:lvlText w:val="%5."/>
      <w:lvlJc w:val="left"/>
      <w:pPr>
        <w:tabs>
          <w:tab w:val="num" w:pos="3754"/>
        </w:tabs>
        <w:ind w:left="3754" w:hanging="360"/>
      </w:pPr>
    </w:lvl>
    <w:lvl w:ilvl="5" w:tplc="0C0A001B" w:tentative="1">
      <w:start w:val="1"/>
      <w:numFmt w:val="lowerRoman"/>
      <w:lvlText w:val="%6."/>
      <w:lvlJc w:val="right"/>
      <w:pPr>
        <w:tabs>
          <w:tab w:val="num" w:pos="4474"/>
        </w:tabs>
        <w:ind w:left="4474" w:hanging="180"/>
      </w:pPr>
    </w:lvl>
    <w:lvl w:ilvl="6" w:tplc="0C0A000F" w:tentative="1">
      <w:start w:val="1"/>
      <w:numFmt w:val="decimal"/>
      <w:lvlText w:val="%7."/>
      <w:lvlJc w:val="left"/>
      <w:pPr>
        <w:tabs>
          <w:tab w:val="num" w:pos="5194"/>
        </w:tabs>
        <w:ind w:left="5194" w:hanging="360"/>
      </w:pPr>
    </w:lvl>
    <w:lvl w:ilvl="7" w:tplc="0C0A0019" w:tentative="1">
      <w:start w:val="1"/>
      <w:numFmt w:val="lowerLetter"/>
      <w:lvlText w:val="%8."/>
      <w:lvlJc w:val="left"/>
      <w:pPr>
        <w:tabs>
          <w:tab w:val="num" w:pos="5914"/>
        </w:tabs>
        <w:ind w:left="5914" w:hanging="360"/>
      </w:pPr>
    </w:lvl>
    <w:lvl w:ilvl="8" w:tplc="0C0A001B" w:tentative="1">
      <w:start w:val="1"/>
      <w:numFmt w:val="lowerRoman"/>
      <w:lvlText w:val="%9."/>
      <w:lvlJc w:val="right"/>
      <w:pPr>
        <w:tabs>
          <w:tab w:val="num" w:pos="6634"/>
        </w:tabs>
        <w:ind w:left="6634" w:hanging="180"/>
      </w:pPr>
    </w:lvl>
  </w:abstractNum>
  <w:abstractNum w:abstractNumId="38">
    <w:nsid w:val="373A6829"/>
    <w:multiLevelType w:val="hybridMultilevel"/>
    <w:tmpl w:val="6B6477EC"/>
    <w:lvl w:ilvl="0" w:tplc="BA86178E">
      <w:start w:val="1"/>
      <w:numFmt w:val="bullet"/>
      <w:pStyle w:val="ComentarioL2"/>
      <w:lvlText w:val=""/>
      <w:lvlJc w:val="left"/>
      <w:pPr>
        <w:tabs>
          <w:tab w:val="num" w:pos="1571"/>
        </w:tabs>
        <w:ind w:left="1571" w:hanging="360"/>
      </w:pPr>
      <w:rPr>
        <w:rFonts w:ascii="Wingdings" w:hAnsi="Wingdings" w:hint="default"/>
      </w:rPr>
    </w:lvl>
    <w:lvl w:ilvl="1" w:tplc="157A68E2" w:tentative="1">
      <w:start w:val="1"/>
      <w:numFmt w:val="bullet"/>
      <w:lvlText w:val="o"/>
      <w:lvlJc w:val="left"/>
      <w:pPr>
        <w:tabs>
          <w:tab w:val="num" w:pos="1440"/>
        </w:tabs>
        <w:ind w:left="1440" w:hanging="360"/>
      </w:pPr>
      <w:rPr>
        <w:rFonts w:ascii="Courier New" w:hAnsi="Courier New" w:cs="Courier New" w:hint="default"/>
      </w:rPr>
    </w:lvl>
    <w:lvl w:ilvl="2" w:tplc="01DA59AE" w:tentative="1">
      <w:start w:val="1"/>
      <w:numFmt w:val="bullet"/>
      <w:lvlText w:val=""/>
      <w:lvlJc w:val="left"/>
      <w:pPr>
        <w:tabs>
          <w:tab w:val="num" w:pos="2160"/>
        </w:tabs>
        <w:ind w:left="2160" w:hanging="360"/>
      </w:pPr>
      <w:rPr>
        <w:rFonts w:ascii="Wingdings" w:hAnsi="Wingdings" w:hint="default"/>
      </w:rPr>
    </w:lvl>
    <w:lvl w:ilvl="3" w:tplc="D21E8218" w:tentative="1">
      <w:start w:val="1"/>
      <w:numFmt w:val="bullet"/>
      <w:lvlText w:val=""/>
      <w:lvlJc w:val="left"/>
      <w:pPr>
        <w:tabs>
          <w:tab w:val="num" w:pos="2880"/>
        </w:tabs>
        <w:ind w:left="2880" w:hanging="360"/>
      </w:pPr>
      <w:rPr>
        <w:rFonts w:ascii="Symbol" w:hAnsi="Symbol" w:hint="default"/>
      </w:rPr>
    </w:lvl>
    <w:lvl w:ilvl="4" w:tplc="39721418" w:tentative="1">
      <w:start w:val="1"/>
      <w:numFmt w:val="bullet"/>
      <w:lvlText w:val="o"/>
      <w:lvlJc w:val="left"/>
      <w:pPr>
        <w:tabs>
          <w:tab w:val="num" w:pos="3600"/>
        </w:tabs>
        <w:ind w:left="3600" w:hanging="360"/>
      </w:pPr>
      <w:rPr>
        <w:rFonts w:ascii="Courier New" w:hAnsi="Courier New" w:cs="Courier New" w:hint="default"/>
      </w:rPr>
    </w:lvl>
    <w:lvl w:ilvl="5" w:tplc="524EE752" w:tentative="1">
      <w:start w:val="1"/>
      <w:numFmt w:val="bullet"/>
      <w:lvlText w:val=""/>
      <w:lvlJc w:val="left"/>
      <w:pPr>
        <w:tabs>
          <w:tab w:val="num" w:pos="4320"/>
        </w:tabs>
        <w:ind w:left="4320" w:hanging="360"/>
      </w:pPr>
      <w:rPr>
        <w:rFonts w:ascii="Wingdings" w:hAnsi="Wingdings" w:hint="default"/>
      </w:rPr>
    </w:lvl>
    <w:lvl w:ilvl="6" w:tplc="B304497E" w:tentative="1">
      <w:start w:val="1"/>
      <w:numFmt w:val="bullet"/>
      <w:lvlText w:val=""/>
      <w:lvlJc w:val="left"/>
      <w:pPr>
        <w:tabs>
          <w:tab w:val="num" w:pos="5040"/>
        </w:tabs>
        <w:ind w:left="5040" w:hanging="360"/>
      </w:pPr>
      <w:rPr>
        <w:rFonts w:ascii="Symbol" w:hAnsi="Symbol" w:hint="default"/>
      </w:rPr>
    </w:lvl>
    <w:lvl w:ilvl="7" w:tplc="BAB2DC3E" w:tentative="1">
      <w:start w:val="1"/>
      <w:numFmt w:val="bullet"/>
      <w:lvlText w:val="o"/>
      <w:lvlJc w:val="left"/>
      <w:pPr>
        <w:tabs>
          <w:tab w:val="num" w:pos="5760"/>
        </w:tabs>
        <w:ind w:left="5760" w:hanging="360"/>
      </w:pPr>
      <w:rPr>
        <w:rFonts w:ascii="Courier New" w:hAnsi="Courier New" w:cs="Courier New" w:hint="default"/>
      </w:rPr>
    </w:lvl>
    <w:lvl w:ilvl="8" w:tplc="BC1868DA" w:tentative="1">
      <w:start w:val="1"/>
      <w:numFmt w:val="bullet"/>
      <w:lvlText w:val=""/>
      <w:lvlJc w:val="left"/>
      <w:pPr>
        <w:tabs>
          <w:tab w:val="num" w:pos="6480"/>
        </w:tabs>
        <w:ind w:left="6480" w:hanging="360"/>
      </w:pPr>
      <w:rPr>
        <w:rFonts w:ascii="Wingdings" w:hAnsi="Wingdings" w:hint="default"/>
      </w:rPr>
    </w:lvl>
  </w:abstractNum>
  <w:abstractNum w:abstractNumId="39">
    <w:nsid w:val="3A230CD7"/>
    <w:multiLevelType w:val="hybridMultilevel"/>
    <w:tmpl w:val="93D4CE04"/>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3A4A61D3"/>
    <w:multiLevelType w:val="hybridMultilevel"/>
    <w:tmpl w:val="58ECB26C"/>
    <w:lvl w:ilvl="0" w:tplc="6F78D636">
      <w:start w:val="1"/>
      <w:numFmt w:val="bullet"/>
      <w:lvlText w:val="-"/>
      <w:lvlJc w:val="left"/>
      <w:pPr>
        <w:tabs>
          <w:tab w:val="num" w:pos="791"/>
        </w:tabs>
        <w:ind w:left="791" w:hanging="360"/>
      </w:pPr>
      <w:rPr>
        <w:rFonts w:ascii="Courier New" w:hAnsi="Courier New" w:hint="default"/>
      </w:rPr>
    </w:lvl>
    <w:lvl w:ilvl="1" w:tplc="0C0A0003" w:tentative="1">
      <w:start w:val="1"/>
      <w:numFmt w:val="bullet"/>
      <w:lvlText w:val="o"/>
      <w:lvlJc w:val="left"/>
      <w:pPr>
        <w:tabs>
          <w:tab w:val="num" w:pos="1871"/>
        </w:tabs>
        <w:ind w:left="1871" w:hanging="360"/>
      </w:pPr>
      <w:rPr>
        <w:rFonts w:ascii="Courier New" w:hAnsi="Courier New" w:cs="Courier New" w:hint="default"/>
      </w:rPr>
    </w:lvl>
    <w:lvl w:ilvl="2" w:tplc="0C0A0005" w:tentative="1">
      <w:start w:val="1"/>
      <w:numFmt w:val="bullet"/>
      <w:lvlText w:val=""/>
      <w:lvlJc w:val="left"/>
      <w:pPr>
        <w:tabs>
          <w:tab w:val="num" w:pos="2591"/>
        </w:tabs>
        <w:ind w:left="2591" w:hanging="360"/>
      </w:pPr>
      <w:rPr>
        <w:rFonts w:ascii="Wingdings" w:hAnsi="Wingdings" w:hint="default"/>
      </w:rPr>
    </w:lvl>
    <w:lvl w:ilvl="3" w:tplc="0C0A0001" w:tentative="1">
      <w:start w:val="1"/>
      <w:numFmt w:val="bullet"/>
      <w:lvlText w:val=""/>
      <w:lvlJc w:val="left"/>
      <w:pPr>
        <w:tabs>
          <w:tab w:val="num" w:pos="3311"/>
        </w:tabs>
        <w:ind w:left="3311" w:hanging="360"/>
      </w:pPr>
      <w:rPr>
        <w:rFonts w:ascii="Symbol" w:hAnsi="Symbol" w:hint="default"/>
      </w:rPr>
    </w:lvl>
    <w:lvl w:ilvl="4" w:tplc="0C0A0003" w:tentative="1">
      <w:start w:val="1"/>
      <w:numFmt w:val="bullet"/>
      <w:lvlText w:val="o"/>
      <w:lvlJc w:val="left"/>
      <w:pPr>
        <w:tabs>
          <w:tab w:val="num" w:pos="4031"/>
        </w:tabs>
        <w:ind w:left="4031" w:hanging="360"/>
      </w:pPr>
      <w:rPr>
        <w:rFonts w:ascii="Courier New" w:hAnsi="Courier New" w:cs="Courier New" w:hint="default"/>
      </w:rPr>
    </w:lvl>
    <w:lvl w:ilvl="5" w:tplc="0C0A0005" w:tentative="1">
      <w:start w:val="1"/>
      <w:numFmt w:val="bullet"/>
      <w:lvlText w:val=""/>
      <w:lvlJc w:val="left"/>
      <w:pPr>
        <w:tabs>
          <w:tab w:val="num" w:pos="4751"/>
        </w:tabs>
        <w:ind w:left="4751" w:hanging="360"/>
      </w:pPr>
      <w:rPr>
        <w:rFonts w:ascii="Wingdings" w:hAnsi="Wingdings" w:hint="default"/>
      </w:rPr>
    </w:lvl>
    <w:lvl w:ilvl="6" w:tplc="0C0A0001" w:tentative="1">
      <w:start w:val="1"/>
      <w:numFmt w:val="bullet"/>
      <w:lvlText w:val=""/>
      <w:lvlJc w:val="left"/>
      <w:pPr>
        <w:tabs>
          <w:tab w:val="num" w:pos="5471"/>
        </w:tabs>
        <w:ind w:left="5471" w:hanging="360"/>
      </w:pPr>
      <w:rPr>
        <w:rFonts w:ascii="Symbol" w:hAnsi="Symbol" w:hint="default"/>
      </w:rPr>
    </w:lvl>
    <w:lvl w:ilvl="7" w:tplc="0C0A0003" w:tentative="1">
      <w:start w:val="1"/>
      <w:numFmt w:val="bullet"/>
      <w:lvlText w:val="o"/>
      <w:lvlJc w:val="left"/>
      <w:pPr>
        <w:tabs>
          <w:tab w:val="num" w:pos="6191"/>
        </w:tabs>
        <w:ind w:left="6191" w:hanging="360"/>
      </w:pPr>
      <w:rPr>
        <w:rFonts w:ascii="Courier New" w:hAnsi="Courier New" w:cs="Courier New" w:hint="default"/>
      </w:rPr>
    </w:lvl>
    <w:lvl w:ilvl="8" w:tplc="0C0A0005" w:tentative="1">
      <w:start w:val="1"/>
      <w:numFmt w:val="bullet"/>
      <w:lvlText w:val=""/>
      <w:lvlJc w:val="left"/>
      <w:pPr>
        <w:tabs>
          <w:tab w:val="num" w:pos="6911"/>
        </w:tabs>
        <w:ind w:left="6911" w:hanging="360"/>
      </w:pPr>
      <w:rPr>
        <w:rFonts w:ascii="Wingdings" w:hAnsi="Wingdings" w:hint="default"/>
      </w:rPr>
    </w:lvl>
  </w:abstractNum>
  <w:abstractNum w:abstractNumId="41">
    <w:nsid w:val="3D3264E0"/>
    <w:multiLevelType w:val="hybridMultilevel"/>
    <w:tmpl w:val="6F48A958"/>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2">
    <w:nsid w:val="3F8B6A70"/>
    <w:multiLevelType w:val="hybridMultilevel"/>
    <w:tmpl w:val="0EE27988"/>
    <w:lvl w:ilvl="0" w:tplc="FC202250">
      <w:start w:val="1"/>
      <w:numFmt w:val="bullet"/>
      <w:lvlText w:val="•"/>
      <w:lvlJc w:val="left"/>
      <w:pPr>
        <w:tabs>
          <w:tab w:val="num" w:pos="360"/>
        </w:tabs>
        <w:ind w:left="360" w:hanging="360"/>
      </w:pPr>
      <w:rPr>
        <w:rFonts w:ascii="Courier New" w:hAnsi="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nsid w:val="3FCE01F4"/>
    <w:multiLevelType w:val="hybridMultilevel"/>
    <w:tmpl w:val="5606B830"/>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4">
    <w:nsid w:val="40997CA3"/>
    <w:multiLevelType w:val="hybridMultilevel"/>
    <w:tmpl w:val="969C84D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42B83D03"/>
    <w:multiLevelType w:val="hybridMultilevel"/>
    <w:tmpl w:val="AB682E8E"/>
    <w:lvl w:ilvl="0" w:tplc="0C0A0005">
      <w:start w:val="1"/>
      <w:numFmt w:val="bullet"/>
      <w:lvlText w:val=""/>
      <w:lvlJc w:val="left"/>
      <w:pPr>
        <w:tabs>
          <w:tab w:val="num" w:pos="2138"/>
        </w:tabs>
        <w:ind w:left="2138"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0C0A000B">
      <w:start w:val="1"/>
      <w:numFmt w:val="bullet"/>
      <w:lvlText w:val=""/>
      <w:lvlJc w:val="left"/>
      <w:pPr>
        <w:tabs>
          <w:tab w:val="num" w:pos="2340"/>
        </w:tabs>
        <w:ind w:left="2340" w:hanging="360"/>
      </w:pPr>
      <w:rPr>
        <w:rFonts w:ascii="Wingdings" w:hAnsi="Wingdings" w:hint="default"/>
      </w:rPr>
    </w:lvl>
    <w:lvl w:ilvl="3" w:tplc="94E6DAEA">
      <w:start w:val="1"/>
      <w:numFmt w:val="bullet"/>
      <w:lvlText w:val=""/>
      <w:lvlJc w:val="left"/>
      <w:pPr>
        <w:tabs>
          <w:tab w:val="num" w:pos="2880"/>
        </w:tabs>
        <w:ind w:left="2880" w:hanging="360"/>
      </w:pPr>
      <w:rPr>
        <w:rFonts w:ascii="Symbol" w:hAnsi="Symbol"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474725D3"/>
    <w:multiLevelType w:val="hybridMultilevel"/>
    <w:tmpl w:val="A0E86F88"/>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7">
    <w:nsid w:val="47FE135B"/>
    <w:multiLevelType w:val="hybridMultilevel"/>
    <w:tmpl w:val="69622C6C"/>
    <w:lvl w:ilvl="0" w:tplc="0C0A0003">
      <w:start w:val="1"/>
      <w:numFmt w:val="bullet"/>
      <w:lvlText w:val="o"/>
      <w:lvlJc w:val="left"/>
      <w:pPr>
        <w:tabs>
          <w:tab w:val="num" w:pos="1152"/>
        </w:tabs>
        <w:ind w:left="1152" w:hanging="360"/>
      </w:pPr>
      <w:rPr>
        <w:rFonts w:ascii="Courier New" w:hAnsi="Courier New" w:hint="default"/>
      </w:rPr>
    </w:lvl>
    <w:lvl w:ilvl="1" w:tplc="0C0A0003">
      <w:start w:val="1"/>
      <w:numFmt w:val="bullet"/>
      <w:lvlText w:val="o"/>
      <w:lvlJc w:val="left"/>
      <w:pPr>
        <w:tabs>
          <w:tab w:val="num" w:pos="1872"/>
        </w:tabs>
        <w:ind w:left="1872" w:hanging="360"/>
      </w:pPr>
      <w:rPr>
        <w:rFonts w:ascii="Courier New" w:hAnsi="Courier New" w:hint="default"/>
      </w:rPr>
    </w:lvl>
    <w:lvl w:ilvl="2" w:tplc="0C0A0005" w:tentative="1">
      <w:start w:val="1"/>
      <w:numFmt w:val="bullet"/>
      <w:lvlText w:val=""/>
      <w:lvlJc w:val="left"/>
      <w:pPr>
        <w:tabs>
          <w:tab w:val="num" w:pos="2592"/>
        </w:tabs>
        <w:ind w:left="2592" w:hanging="360"/>
      </w:pPr>
      <w:rPr>
        <w:rFonts w:ascii="Wingdings" w:hAnsi="Wingdings" w:hint="default"/>
      </w:rPr>
    </w:lvl>
    <w:lvl w:ilvl="3" w:tplc="0C0A0001" w:tentative="1">
      <w:start w:val="1"/>
      <w:numFmt w:val="bullet"/>
      <w:lvlText w:val=""/>
      <w:lvlJc w:val="left"/>
      <w:pPr>
        <w:tabs>
          <w:tab w:val="num" w:pos="3312"/>
        </w:tabs>
        <w:ind w:left="3312" w:hanging="360"/>
      </w:pPr>
      <w:rPr>
        <w:rFonts w:ascii="Symbol" w:hAnsi="Symbol" w:hint="default"/>
      </w:rPr>
    </w:lvl>
    <w:lvl w:ilvl="4" w:tplc="0C0A0003" w:tentative="1">
      <w:start w:val="1"/>
      <w:numFmt w:val="bullet"/>
      <w:lvlText w:val="o"/>
      <w:lvlJc w:val="left"/>
      <w:pPr>
        <w:tabs>
          <w:tab w:val="num" w:pos="4032"/>
        </w:tabs>
        <w:ind w:left="4032" w:hanging="360"/>
      </w:pPr>
      <w:rPr>
        <w:rFonts w:ascii="Courier New" w:hAnsi="Courier New" w:hint="default"/>
      </w:rPr>
    </w:lvl>
    <w:lvl w:ilvl="5" w:tplc="0C0A0005" w:tentative="1">
      <w:start w:val="1"/>
      <w:numFmt w:val="bullet"/>
      <w:lvlText w:val=""/>
      <w:lvlJc w:val="left"/>
      <w:pPr>
        <w:tabs>
          <w:tab w:val="num" w:pos="4752"/>
        </w:tabs>
        <w:ind w:left="4752" w:hanging="360"/>
      </w:pPr>
      <w:rPr>
        <w:rFonts w:ascii="Wingdings" w:hAnsi="Wingdings" w:hint="default"/>
      </w:rPr>
    </w:lvl>
    <w:lvl w:ilvl="6" w:tplc="0C0A0001" w:tentative="1">
      <w:start w:val="1"/>
      <w:numFmt w:val="bullet"/>
      <w:lvlText w:val=""/>
      <w:lvlJc w:val="left"/>
      <w:pPr>
        <w:tabs>
          <w:tab w:val="num" w:pos="5472"/>
        </w:tabs>
        <w:ind w:left="5472" w:hanging="360"/>
      </w:pPr>
      <w:rPr>
        <w:rFonts w:ascii="Symbol" w:hAnsi="Symbol" w:hint="default"/>
      </w:rPr>
    </w:lvl>
    <w:lvl w:ilvl="7" w:tplc="0C0A0003" w:tentative="1">
      <w:start w:val="1"/>
      <w:numFmt w:val="bullet"/>
      <w:lvlText w:val="o"/>
      <w:lvlJc w:val="left"/>
      <w:pPr>
        <w:tabs>
          <w:tab w:val="num" w:pos="6192"/>
        </w:tabs>
        <w:ind w:left="6192" w:hanging="360"/>
      </w:pPr>
      <w:rPr>
        <w:rFonts w:ascii="Courier New" w:hAnsi="Courier New" w:hint="default"/>
      </w:rPr>
    </w:lvl>
    <w:lvl w:ilvl="8" w:tplc="0C0A0005" w:tentative="1">
      <w:start w:val="1"/>
      <w:numFmt w:val="bullet"/>
      <w:lvlText w:val=""/>
      <w:lvlJc w:val="left"/>
      <w:pPr>
        <w:tabs>
          <w:tab w:val="num" w:pos="6912"/>
        </w:tabs>
        <w:ind w:left="6912" w:hanging="360"/>
      </w:pPr>
      <w:rPr>
        <w:rFonts w:ascii="Wingdings" w:hAnsi="Wingdings" w:hint="default"/>
      </w:rPr>
    </w:lvl>
  </w:abstractNum>
  <w:abstractNum w:abstractNumId="48">
    <w:nsid w:val="48093C52"/>
    <w:multiLevelType w:val="hybridMultilevel"/>
    <w:tmpl w:val="C62E5EFE"/>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9">
    <w:nsid w:val="493F2E66"/>
    <w:multiLevelType w:val="hybridMultilevel"/>
    <w:tmpl w:val="7AD48BD6"/>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50">
    <w:nsid w:val="4BC462B5"/>
    <w:multiLevelType w:val="hybridMultilevel"/>
    <w:tmpl w:val="20DE6034"/>
    <w:lvl w:ilvl="0" w:tplc="10ECA212">
      <w:start w:val="1"/>
      <w:numFmt w:val="decimal"/>
      <w:lvlText w:val="%1."/>
      <w:lvlJc w:val="left"/>
      <w:pPr>
        <w:tabs>
          <w:tab w:val="num" w:pos="1656"/>
        </w:tabs>
        <w:ind w:left="1656" w:hanging="360"/>
      </w:pPr>
      <w:rPr>
        <w:rFonts w:hint="default"/>
        <w:color w:val="auto"/>
      </w:rPr>
    </w:lvl>
    <w:lvl w:ilvl="1" w:tplc="0C0A0003">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51">
    <w:nsid w:val="4CEE793F"/>
    <w:multiLevelType w:val="hybridMultilevel"/>
    <w:tmpl w:val="6CEE72DC"/>
    <w:lvl w:ilvl="0" w:tplc="0C0A0005">
      <w:start w:val="1"/>
      <w:numFmt w:val="bullet"/>
      <w:lvlText w:val=""/>
      <w:lvlJc w:val="left"/>
      <w:pPr>
        <w:tabs>
          <w:tab w:val="num" w:pos="1212"/>
        </w:tabs>
        <w:ind w:left="1212" w:hanging="360"/>
      </w:pPr>
      <w:rPr>
        <w:rFonts w:ascii="Wingdings" w:hAnsi="Wingdings" w:hint="default"/>
      </w:rPr>
    </w:lvl>
    <w:lvl w:ilvl="1" w:tplc="E7266016">
      <w:start w:val="1"/>
      <w:numFmt w:val="decimal"/>
      <w:lvlText w:val="%2."/>
      <w:lvlJc w:val="left"/>
      <w:pPr>
        <w:tabs>
          <w:tab w:val="num" w:pos="1932"/>
        </w:tabs>
        <w:ind w:left="1932" w:hanging="360"/>
      </w:pPr>
      <w:rPr>
        <w:rFonts w:hint="default"/>
      </w:rPr>
    </w:lvl>
    <w:lvl w:ilvl="2" w:tplc="0C0A0005">
      <w:start w:val="1"/>
      <w:numFmt w:val="bullet"/>
      <w:lvlText w:val=""/>
      <w:lvlJc w:val="left"/>
      <w:pPr>
        <w:tabs>
          <w:tab w:val="num" w:pos="2652"/>
        </w:tabs>
        <w:ind w:left="2652" w:hanging="360"/>
      </w:pPr>
      <w:rPr>
        <w:rFonts w:ascii="Wingdings" w:hAnsi="Wingdings" w:hint="default"/>
      </w:rPr>
    </w:lvl>
    <w:lvl w:ilvl="3" w:tplc="0C0A0001" w:tentative="1">
      <w:start w:val="1"/>
      <w:numFmt w:val="bullet"/>
      <w:lvlText w:val=""/>
      <w:lvlJc w:val="left"/>
      <w:pPr>
        <w:tabs>
          <w:tab w:val="num" w:pos="3372"/>
        </w:tabs>
        <w:ind w:left="3372" w:hanging="360"/>
      </w:pPr>
      <w:rPr>
        <w:rFonts w:ascii="Symbol" w:hAnsi="Symbol" w:hint="default"/>
      </w:rPr>
    </w:lvl>
    <w:lvl w:ilvl="4" w:tplc="0C0A0003" w:tentative="1">
      <w:start w:val="1"/>
      <w:numFmt w:val="bullet"/>
      <w:lvlText w:val="o"/>
      <w:lvlJc w:val="left"/>
      <w:pPr>
        <w:tabs>
          <w:tab w:val="num" w:pos="4092"/>
        </w:tabs>
        <w:ind w:left="4092" w:hanging="360"/>
      </w:pPr>
      <w:rPr>
        <w:rFonts w:ascii="Courier New" w:hAnsi="Courier New" w:cs="Courier New" w:hint="default"/>
      </w:rPr>
    </w:lvl>
    <w:lvl w:ilvl="5" w:tplc="0C0A0005" w:tentative="1">
      <w:start w:val="1"/>
      <w:numFmt w:val="bullet"/>
      <w:lvlText w:val=""/>
      <w:lvlJc w:val="left"/>
      <w:pPr>
        <w:tabs>
          <w:tab w:val="num" w:pos="4812"/>
        </w:tabs>
        <w:ind w:left="4812" w:hanging="360"/>
      </w:pPr>
      <w:rPr>
        <w:rFonts w:ascii="Wingdings" w:hAnsi="Wingdings" w:hint="default"/>
      </w:rPr>
    </w:lvl>
    <w:lvl w:ilvl="6" w:tplc="0C0A0001" w:tentative="1">
      <w:start w:val="1"/>
      <w:numFmt w:val="bullet"/>
      <w:lvlText w:val=""/>
      <w:lvlJc w:val="left"/>
      <w:pPr>
        <w:tabs>
          <w:tab w:val="num" w:pos="5532"/>
        </w:tabs>
        <w:ind w:left="5532" w:hanging="360"/>
      </w:pPr>
      <w:rPr>
        <w:rFonts w:ascii="Symbol" w:hAnsi="Symbol" w:hint="default"/>
      </w:rPr>
    </w:lvl>
    <w:lvl w:ilvl="7" w:tplc="0C0A0003" w:tentative="1">
      <w:start w:val="1"/>
      <w:numFmt w:val="bullet"/>
      <w:lvlText w:val="o"/>
      <w:lvlJc w:val="left"/>
      <w:pPr>
        <w:tabs>
          <w:tab w:val="num" w:pos="6252"/>
        </w:tabs>
        <w:ind w:left="6252" w:hanging="360"/>
      </w:pPr>
      <w:rPr>
        <w:rFonts w:ascii="Courier New" w:hAnsi="Courier New" w:cs="Courier New" w:hint="default"/>
      </w:rPr>
    </w:lvl>
    <w:lvl w:ilvl="8" w:tplc="0C0A0005" w:tentative="1">
      <w:start w:val="1"/>
      <w:numFmt w:val="bullet"/>
      <w:lvlText w:val=""/>
      <w:lvlJc w:val="left"/>
      <w:pPr>
        <w:tabs>
          <w:tab w:val="num" w:pos="6972"/>
        </w:tabs>
        <w:ind w:left="6972" w:hanging="360"/>
      </w:pPr>
      <w:rPr>
        <w:rFonts w:ascii="Wingdings" w:hAnsi="Wingdings" w:hint="default"/>
      </w:rPr>
    </w:lvl>
  </w:abstractNum>
  <w:abstractNum w:abstractNumId="52">
    <w:nsid w:val="4E2B1997"/>
    <w:multiLevelType w:val="hybridMultilevel"/>
    <w:tmpl w:val="D4E04D94"/>
    <w:lvl w:ilvl="0" w:tplc="DBC6C7D2">
      <w:numFmt w:val="bullet"/>
      <w:lvlText w:val="-"/>
      <w:lvlJc w:val="left"/>
      <w:pPr>
        <w:tabs>
          <w:tab w:val="num" w:pos="2291"/>
        </w:tabs>
        <w:ind w:left="2291" w:hanging="360"/>
      </w:pPr>
      <w:rPr>
        <w:rFonts w:ascii="Garamond" w:eastAsia="Times New Roman" w:hAnsi="Garamond" w:cs="Times New Roman" w:hint="default"/>
      </w:rPr>
    </w:lvl>
    <w:lvl w:ilvl="1" w:tplc="0C0A000F">
      <w:start w:val="1"/>
      <w:numFmt w:val="decimal"/>
      <w:lvlText w:val="%2."/>
      <w:lvlJc w:val="left"/>
      <w:pPr>
        <w:tabs>
          <w:tab w:val="num" w:pos="3085"/>
        </w:tabs>
        <w:ind w:left="3085" w:hanging="360"/>
      </w:pPr>
      <w:rPr>
        <w:rFonts w:hint="default"/>
      </w:rPr>
    </w:lvl>
    <w:lvl w:ilvl="2" w:tplc="0C0A000F">
      <w:start w:val="1"/>
      <w:numFmt w:val="decimal"/>
      <w:lvlText w:val="%3."/>
      <w:lvlJc w:val="left"/>
      <w:pPr>
        <w:tabs>
          <w:tab w:val="num" w:pos="3805"/>
        </w:tabs>
        <w:ind w:left="3805" w:hanging="360"/>
      </w:pPr>
      <w:rPr>
        <w:rFonts w:hint="default"/>
      </w:rPr>
    </w:lvl>
    <w:lvl w:ilvl="3" w:tplc="0C0A0001" w:tentative="1">
      <w:start w:val="1"/>
      <w:numFmt w:val="bullet"/>
      <w:lvlText w:val=""/>
      <w:lvlJc w:val="left"/>
      <w:pPr>
        <w:tabs>
          <w:tab w:val="num" w:pos="4525"/>
        </w:tabs>
        <w:ind w:left="4525" w:hanging="360"/>
      </w:pPr>
      <w:rPr>
        <w:rFonts w:ascii="Symbol" w:hAnsi="Symbol" w:hint="default"/>
      </w:rPr>
    </w:lvl>
    <w:lvl w:ilvl="4" w:tplc="0C0A0003" w:tentative="1">
      <w:start w:val="1"/>
      <w:numFmt w:val="bullet"/>
      <w:lvlText w:val="o"/>
      <w:lvlJc w:val="left"/>
      <w:pPr>
        <w:tabs>
          <w:tab w:val="num" w:pos="5245"/>
        </w:tabs>
        <w:ind w:left="5245" w:hanging="360"/>
      </w:pPr>
      <w:rPr>
        <w:rFonts w:ascii="Courier New" w:hAnsi="Courier New" w:hint="default"/>
      </w:rPr>
    </w:lvl>
    <w:lvl w:ilvl="5" w:tplc="0C0A0005" w:tentative="1">
      <w:start w:val="1"/>
      <w:numFmt w:val="bullet"/>
      <w:lvlText w:val=""/>
      <w:lvlJc w:val="left"/>
      <w:pPr>
        <w:tabs>
          <w:tab w:val="num" w:pos="5965"/>
        </w:tabs>
        <w:ind w:left="5965" w:hanging="360"/>
      </w:pPr>
      <w:rPr>
        <w:rFonts w:ascii="Wingdings" w:hAnsi="Wingdings" w:hint="default"/>
      </w:rPr>
    </w:lvl>
    <w:lvl w:ilvl="6" w:tplc="0C0A0001" w:tentative="1">
      <w:start w:val="1"/>
      <w:numFmt w:val="bullet"/>
      <w:lvlText w:val=""/>
      <w:lvlJc w:val="left"/>
      <w:pPr>
        <w:tabs>
          <w:tab w:val="num" w:pos="6685"/>
        </w:tabs>
        <w:ind w:left="6685" w:hanging="360"/>
      </w:pPr>
      <w:rPr>
        <w:rFonts w:ascii="Symbol" w:hAnsi="Symbol" w:hint="default"/>
      </w:rPr>
    </w:lvl>
    <w:lvl w:ilvl="7" w:tplc="0C0A0003" w:tentative="1">
      <w:start w:val="1"/>
      <w:numFmt w:val="bullet"/>
      <w:lvlText w:val="o"/>
      <w:lvlJc w:val="left"/>
      <w:pPr>
        <w:tabs>
          <w:tab w:val="num" w:pos="7405"/>
        </w:tabs>
        <w:ind w:left="7405" w:hanging="360"/>
      </w:pPr>
      <w:rPr>
        <w:rFonts w:ascii="Courier New" w:hAnsi="Courier New" w:hint="default"/>
      </w:rPr>
    </w:lvl>
    <w:lvl w:ilvl="8" w:tplc="0C0A0005" w:tentative="1">
      <w:start w:val="1"/>
      <w:numFmt w:val="bullet"/>
      <w:lvlText w:val=""/>
      <w:lvlJc w:val="left"/>
      <w:pPr>
        <w:tabs>
          <w:tab w:val="num" w:pos="8125"/>
        </w:tabs>
        <w:ind w:left="8125" w:hanging="360"/>
      </w:pPr>
      <w:rPr>
        <w:rFonts w:ascii="Wingdings" w:hAnsi="Wingdings" w:hint="default"/>
      </w:rPr>
    </w:lvl>
  </w:abstractNum>
  <w:abstractNum w:abstractNumId="53">
    <w:nsid w:val="4EF55791"/>
    <w:multiLevelType w:val="hybridMultilevel"/>
    <w:tmpl w:val="43EACD6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4FB8040E"/>
    <w:multiLevelType w:val="hybridMultilevel"/>
    <w:tmpl w:val="DCCAB02A"/>
    <w:lvl w:ilvl="0" w:tplc="DBC6C7D2">
      <w:numFmt w:val="bullet"/>
      <w:lvlText w:val="-"/>
      <w:lvlJc w:val="left"/>
      <w:pPr>
        <w:tabs>
          <w:tab w:val="num" w:pos="1778"/>
        </w:tabs>
        <w:ind w:left="1778" w:hanging="360"/>
      </w:pPr>
      <w:rPr>
        <w:rFonts w:ascii="Garamond" w:eastAsia="Times New Roman" w:hAnsi="Garamond" w:cs="Times New Roman" w:hint="default"/>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start w:val="1"/>
      <w:numFmt w:val="bullet"/>
      <w:lvlText w:val=""/>
      <w:lvlJc w:val="left"/>
      <w:pPr>
        <w:tabs>
          <w:tab w:val="num" w:pos="2727"/>
        </w:tabs>
        <w:ind w:left="2727" w:hanging="360"/>
      </w:pPr>
      <w:rPr>
        <w:rFonts w:ascii="Wingdings" w:hAnsi="Wingdings" w:hint="default"/>
      </w:rPr>
    </w:lvl>
    <w:lvl w:ilvl="3" w:tplc="0C0A000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55">
    <w:nsid w:val="4FDA23E8"/>
    <w:multiLevelType w:val="singleLevel"/>
    <w:tmpl w:val="6EECB87A"/>
    <w:lvl w:ilvl="0">
      <w:start w:val="1"/>
      <w:numFmt w:val="bullet"/>
      <w:pStyle w:val="Sangradonivel1conbolo"/>
      <w:lvlText w:val=""/>
      <w:lvlJc w:val="left"/>
      <w:pPr>
        <w:tabs>
          <w:tab w:val="num" w:pos="360"/>
        </w:tabs>
        <w:ind w:left="360" w:hanging="360"/>
      </w:pPr>
      <w:rPr>
        <w:rFonts w:ascii="Symbol" w:hAnsi="Symbol" w:hint="default"/>
      </w:rPr>
    </w:lvl>
  </w:abstractNum>
  <w:abstractNum w:abstractNumId="56">
    <w:nsid w:val="535B032C"/>
    <w:multiLevelType w:val="hybridMultilevel"/>
    <w:tmpl w:val="A79C87D6"/>
    <w:lvl w:ilvl="0" w:tplc="0C0A0005">
      <w:start w:val="1"/>
      <w:numFmt w:val="bullet"/>
      <w:lvlText w:val=""/>
      <w:lvlJc w:val="left"/>
      <w:pPr>
        <w:tabs>
          <w:tab w:val="num" w:pos="1571"/>
        </w:tabs>
        <w:ind w:left="1571" w:hanging="360"/>
      </w:pPr>
      <w:rPr>
        <w:rFonts w:ascii="Wingdings" w:hAnsi="Wingdings" w:hint="default"/>
      </w:rPr>
    </w:lvl>
    <w:lvl w:ilvl="1" w:tplc="0C0A0003">
      <w:start w:val="1"/>
      <w:numFmt w:val="bullet"/>
      <w:lvlText w:val="o"/>
      <w:lvlJc w:val="left"/>
      <w:pPr>
        <w:tabs>
          <w:tab w:val="num" w:pos="2291"/>
        </w:tabs>
        <w:ind w:left="2291" w:hanging="360"/>
      </w:pPr>
      <w:rPr>
        <w:rFonts w:ascii="Courier New" w:hAnsi="Courier New" w:cs="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cs="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cs="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57">
    <w:nsid w:val="53BF08ED"/>
    <w:multiLevelType w:val="hybridMultilevel"/>
    <w:tmpl w:val="172EA20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8">
    <w:nsid w:val="542D1149"/>
    <w:multiLevelType w:val="hybridMultilevel"/>
    <w:tmpl w:val="FB02113E"/>
    <w:lvl w:ilvl="0" w:tplc="0C0A0005">
      <w:start w:val="1"/>
      <w:numFmt w:val="bullet"/>
      <w:lvlText w:val=""/>
      <w:lvlJc w:val="left"/>
      <w:pPr>
        <w:tabs>
          <w:tab w:val="num" w:pos="1778"/>
        </w:tabs>
        <w:ind w:left="1778" w:hanging="360"/>
      </w:pPr>
      <w:rPr>
        <w:rFonts w:ascii="Wingdings" w:hAnsi="Wingdings" w:hint="default"/>
      </w:rPr>
    </w:lvl>
    <w:lvl w:ilvl="1" w:tplc="0C0A0003" w:tentative="1">
      <w:start w:val="1"/>
      <w:numFmt w:val="bullet"/>
      <w:lvlText w:val="o"/>
      <w:lvlJc w:val="left"/>
      <w:pPr>
        <w:tabs>
          <w:tab w:val="num" w:pos="2498"/>
        </w:tabs>
        <w:ind w:left="2498" w:hanging="360"/>
      </w:pPr>
      <w:rPr>
        <w:rFonts w:ascii="Courier New" w:hAnsi="Courier New" w:cs="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cs="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cs="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59">
    <w:nsid w:val="546A330C"/>
    <w:multiLevelType w:val="hybridMultilevel"/>
    <w:tmpl w:val="0096E444"/>
    <w:lvl w:ilvl="0" w:tplc="75444EEC">
      <w:start w:val="1"/>
      <w:numFmt w:val="bullet"/>
      <w:pStyle w:val="Listaconvietas2"/>
      <w:lvlText w:val=""/>
      <w:lvlJc w:val="left"/>
      <w:pPr>
        <w:tabs>
          <w:tab w:val="num" w:pos="2762"/>
        </w:tabs>
        <w:ind w:left="2762" w:hanging="360"/>
      </w:pPr>
      <w:rPr>
        <w:rFonts w:ascii="Wingdings" w:hAnsi="Wingdings" w:hint="default"/>
      </w:rPr>
    </w:lvl>
    <w:lvl w:ilvl="1" w:tplc="3BC45946" w:tentative="1">
      <w:start w:val="1"/>
      <w:numFmt w:val="bullet"/>
      <w:lvlText w:val="o"/>
      <w:lvlJc w:val="left"/>
      <w:pPr>
        <w:tabs>
          <w:tab w:val="num" w:pos="2631"/>
        </w:tabs>
        <w:ind w:left="2631" w:hanging="360"/>
      </w:pPr>
      <w:rPr>
        <w:rFonts w:ascii="Courier New" w:hAnsi="Courier New" w:cs="Courier New" w:hint="default"/>
      </w:rPr>
    </w:lvl>
    <w:lvl w:ilvl="2" w:tplc="33C42CD0" w:tentative="1">
      <w:start w:val="1"/>
      <w:numFmt w:val="bullet"/>
      <w:lvlText w:val=""/>
      <w:lvlJc w:val="left"/>
      <w:pPr>
        <w:tabs>
          <w:tab w:val="num" w:pos="3351"/>
        </w:tabs>
        <w:ind w:left="3351" w:hanging="360"/>
      </w:pPr>
      <w:rPr>
        <w:rFonts w:ascii="Wingdings" w:hAnsi="Wingdings" w:hint="default"/>
      </w:rPr>
    </w:lvl>
    <w:lvl w:ilvl="3" w:tplc="940275CA" w:tentative="1">
      <w:start w:val="1"/>
      <w:numFmt w:val="bullet"/>
      <w:lvlText w:val=""/>
      <w:lvlJc w:val="left"/>
      <w:pPr>
        <w:tabs>
          <w:tab w:val="num" w:pos="4071"/>
        </w:tabs>
        <w:ind w:left="4071" w:hanging="360"/>
      </w:pPr>
      <w:rPr>
        <w:rFonts w:ascii="Symbol" w:hAnsi="Symbol" w:hint="default"/>
      </w:rPr>
    </w:lvl>
    <w:lvl w:ilvl="4" w:tplc="687E3DDE" w:tentative="1">
      <w:start w:val="1"/>
      <w:numFmt w:val="bullet"/>
      <w:lvlText w:val="o"/>
      <w:lvlJc w:val="left"/>
      <w:pPr>
        <w:tabs>
          <w:tab w:val="num" w:pos="4791"/>
        </w:tabs>
        <w:ind w:left="4791" w:hanging="360"/>
      </w:pPr>
      <w:rPr>
        <w:rFonts w:ascii="Courier New" w:hAnsi="Courier New" w:cs="Courier New" w:hint="default"/>
      </w:rPr>
    </w:lvl>
    <w:lvl w:ilvl="5" w:tplc="02BC57F6" w:tentative="1">
      <w:start w:val="1"/>
      <w:numFmt w:val="bullet"/>
      <w:lvlText w:val=""/>
      <w:lvlJc w:val="left"/>
      <w:pPr>
        <w:tabs>
          <w:tab w:val="num" w:pos="5511"/>
        </w:tabs>
        <w:ind w:left="5511" w:hanging="360"/>
      </w:pPr>
      <w:rPr>
        <w:rFonts w:ascii="Wingdings" w:hAnsi="Wingdings" w:hint="default"/>
      </w:rPr>
    </w:lvl>
    <w:lvl w:ilvl="6" w:tplc="FAF06B04" w:tentative="1">
      <w:start w:val="1"/>
      <w:numFmt w:val="bullet"/>
      <w:lvlText w:val=""/>
      <w:lvlJc w:val="left"/>
      <w:pPr>
        <w:tabs>
          <w:tab w:val="num" w:pos="6231"/>
        </w:tabs>
        <w:ind w:left="6231" w:hanging="360"/>
      </w:pPr>
      <w:rPr>
        <w:rFonts w:ascii="Symbol" w:hAnsi="Symbol" w:hint="default"/>
      </w:rPr>
    </w:lvl>
    <w:lvl w:ilvl="7" w:tplc="139C8978" w:tentative="1">
      <w:start w:val="1"/>
      <w:numFmt w:val="bullet"/>
      <w:lvlText w:val="o"/>
      <w:lvlJc w:val="left"/>
      <w:pPr>
        <w:tabs>
          <w:tab w:val="num" w:pos="6951"/>
        </w:tabs>
        <w:ind w:left="6951" w:hanging="360"/>
      </w:pPr>
      <w:rPr>
        <w:rFonts w:ascii="Courier New" w:hAnsi="Courier New" w:cs="Courier New" w:hint="default"/>
      </w:rPr>
    </w:lvl>
    <w:lvl w:ilvl="8" w:tplc="4B1AA91A" w:tentative="1">
      <w:start w:val="1"/>
      <w:numFmt w:val="bullet"/>
      <w:lvlText w:val=""/>
      <w:lvlJc w:val="left"/>
      <w:pPr>
        <w:tabs>
          <w:tab w:val="num" w:pos="7671"/>
        </w:tabs>
        <w:ind w:left="7671" w:hanging="360"/>
      </w:pPr>
      <w:rPr>
        <w:rFonts w:ascii="Wingdings" w:hAnsi="Wingdings" w:hint="default"/>
      </w:rPr>
    </w:lvl>
  </w:abstractNum>
  <w:abstractNum w:abstractNumId="60">
    <w:nsid w:val="5B5C2B41"/>
    <w:multiLevelType w:val="hybridMultilevel"/>
    <w:tmpl w:val="256029B8"/>
    <w:lvl w:ilvl="0" w:tplc="C5AE4BDC">
      <w:start w:val="1"/>
      <w:numFmt w:val="decimal"/>
      <w:lvlText w:val="%1."/>
      <w:lvlJc w:val="left"/>
      <w:pPr>
        <w:tabs>
          <w:tab w:val="num" w:pos="1068"/>
        </w:tabs>
        <w:ind w:left="1068" w:hanging="360"/>
      </w:pPr>
      <w:rPr>
        <w:rFonts w:hint="default"/>
        <w:b w:val="0"/>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61">
    <w:nsid w:val="5CA72E8E"/>
    <w:multiLevelType w:val="hybridMultilevel"/>
    <w:tmpl w:val="78863C6A"/>
    <w:lvl w:ilvl="0" w:tplc="0C0A0003">
      <w:start w:val="1"/>
      <w:numFmt w:val="bullet"/>
      <w:lvlText w:val="o"/>
      <w:lvlJc w:val="left"/>
      <w:pPr>
        <w:tabs>
          <w:tab w:val="num" w:pos="1069"/>
        </w:tabs>
        <w:ind w:left="1069" w:hanging="360"/>
      </w:pPr>
      <w:rPr>
        <w:rFonts w:ascii="Courier New" w:hAnsi="Courier New" w:cs="Courier New" w:hint="default"/>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62">
    <w:nsid w:val="5CFF5D95"/>
    <w:multiLevelType w:val="hybridMultilevel"/>
    <w:tmpl w:val="BAA8506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3">
    <w:nsid w:val="5DE5745A"/>
    <w:multiLevelType w:val="singleLevel"/>
    <w:tmpl w:val="0DC2179A"/>
    <w:lvl w:ilvl="0">
      <w:start w:val="1"/>
      <w:numFmt w:val="decimal"/>
      <w:pStyle w:val="Figura"/>
      <w:lvlText w:val="Figura %1."/>
      <w:lvlJc w:val="left"/>
      <w:pPr>
        <w:tabs>
          <w:tab w:val="num" w:pos="1080"/>
        </w:tabs>
        <w:ind w:left="0" w:firstLine="0"/>
      </w:pPr>
    </w:lvl>
  </w:abstractNum>
  <w:abstractNum w:abstractNumId="64">
    <w:nsid w:val="600D294F"/>
    <w:multiLevelType w:val="hybridMultilevel"/>
    <w:tmpl w:val="F2F2BCB2"/>
    <w:lvl w:ilvl="0" w:tplc="0C0A0005">
      <w:start w:val="1"/>
      <w:numFmt w:val="bullet"/>
      <w:lvlText w:val=""/>
      <w:lvlJc w:val="left"/>
      <w:pPr>
        <w:tabs>
          <w:tab w:val="num" w:pos="2138"/>
        </w:tabs>
        <w:ind w:left="2138" w:hanging="360"/>
      </w:pPr>
      <w:rPr>
        <w:rFonts w:ascii="Wingdings" w:hAnsi="Wingdings" w:hint="default"/>
      </w:rPr>
    </w:lvl>
    <w:lvl w:ilvl="1" w:tplc="0C0A0003" w:tentative="1">
      <w:start w:val="1"/>
      <w:numFmt w:val="bullet"/>
      <w:lvlText w:val="o"/>
      <w:lvlJc w:val="left"/>
      <w:pPr>
        <w:tabs>
          <w:tab w:val="num" w:pos="2858"/>
        </w:tabs>
        <w:ind w:left="2858" w:hanging="360"/>
      </w:pPr>
      <w:rPr>
        <w:rFonts w:ascii="Courier New" w:hAnsi="Courier New" w:cs="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cs="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cs="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65">
    <w:nsid w:val="636C67F7"/>
    <w:multiLevelType w:val="hybridMultilevel"/>
    <w:tmpl w:val="67BAB398"/>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6">
    <w:nsid w:val="64A37BBB"/>
    <w:multiLevelType w:val="hybridMultilevel"/>
    <w:tmpl w:val="FE2A1BDE"/>
    <w:lvl w:ilvl="0" w:tplc="0C0A0005">
      <w:start w:val="1"/>
      <w:numFmt w:val="bullet"/>
      <w:lvlText w:val=""/>
      <w:lvlJc w:val="left"/>
      <w:pPr>
        <w:tabs>
          <w:tab w:val="num" w:pos="1069"/>
        </w:tabs>
        <w:ind w:left="1069" w:hanging="360"/>
      </w:pPr>
      <w:rPr>
        <w:rFonts w:ascii="Wingdings" w:hAnsi="Wingdings" w:hint="default"/>
      </w:rPr>
    </w:lvl>
    <w:lvl w:ilvl="1" w:tplc="0C0A0003">
      <w:start w:val="1"/>
      <w:numFmt w:val="bullet"/>
      <w:lvlText w:val="o"/>
      <w:lvlJc w:val="left"/>
      <w:pPr>
        <w:tabs>
          <w:tab w:val="num" w:pos="1370"/>
        </w:tabs>
        <w:ind w:left="1370" w:hanging="360"/>
      </w:pPr>
      <w:rPr>
        <w:rFonts w:ascii="Courier New" w:hAnsi="Courier New" w:cs="Courier New" w:hint="default"/>
      </w:rPr>
    </w:lvl>
    <w:lvl w:ilvl="2" w:tplc="0C0A0005" w:tentative="1">
      <w:start w:val="1"/>
      <w:numFmt w:val="bullet"/>
      <w:lvlText w:val=""/>
      <w:lvlJc w:val="left"/>
      <w:pPr>
        <w:tabs>
          <w:tab w:val="num" w:pos="2090"/>
        </w:tabs>
        <w:ind w:left="2090" w:hanging="360"/>
      </w:pPr>
      <w:rPr>
        <w:rFonts w:ascii="Wingdings" w:hAnsi="Wingdings" w:hint="default"/>
      </w:rPr>
    </w:lvl>
    <w:lvl w:ilvl="3" w:tplc="0C0A0001" w:tentative="1">
      <w:start w:val="1"/>
      <w:numFmt w:val="bullet"/>
      <w:lvlText w:val=""/>
      <w:lvlJc w:val="left"/>
      <w:pPr>
        <w:tabs>
          <w:tab w:val="num" w:pos="2810"/>
        </w:tabs>
        <w:ind w:left="2810" w:hanging="360"/>
      </w:pPr>
      <w:rPr>
        <w:rFonts w:ascii="Symbol" w:hAnsi="Symbol" w:hint="default"/>
      </w:rPr>
    </w:lvl>
    <w:lvl w:ilvl="4" w:tplc="0C0A0003" w:tentative="1">
      <w:start w:val="1"/>
      <w:numFmt w:val="bullet"/>
      <w:lvlText w:val="o"/>
      <w:lvlJc w:val="left"/>
      <w:pPr>
        <w:tabs>
          <w:tab w:val="num" w:pos="3530"/>
        </w:tabs>
        <w:ind w:left="3530" w:hanging="360"/>
      </w:pPr>
      <w:rPr>
        <w:rFonts w:ascii="Courier New" w:hAnsi="Courier New" w:cs="Courier New" w:hint="default"/>
      </w:rPr>
    </w:lvl>
    <w:lvl w:ilvl="5" w:tplc="0C0A0005" w:tentative="1">
      <w:start w:val="1"/>
      <w:numFmt w:val="bullet"/>
      <w:lvlText w:val=""/>
      <w:lvlJc w:val="left"/>
      <w:pPr>
        <w:tabs>
          <w:tab w:val="num" w:pos="4250"/>
        </w:tabs>
        <w:ind w:left="4250" w:hanging="360"/>
      </w:pPr>
      <w:rPr>
        <w:rFonts w:ascii="Wingdings" w:hAnsi="Wingdings" w:hint="default"/>
      </w:rPr>
    </w:lvl>
    <w:lvl w:ilvl="6" w:tplc="0C0A0001" w:tentative="1">
      <w:start w:val="1"/>
      <w:numFmt w:val="bullet"/>
      <w:lvlText w:val=""/>
      <w:lvlJc w:val="left"/>
      <w:pPr>
        <w:tabs>
          <w:tab w:val="num" w:pos="4970"/>
        </w:tabs>
        <w:ind w:left="4970" w:hanging="360"/>
      </w:pPr>
      <w:rPr>
        <w:rFonts w:ascii="Symbol" w:hAnsi="Symbol" w:hint="default"/>
      </w:rPr>
    </w:lvl>
    <w:lvl w:ilvl="7" w:tplc="0C0A0003" w:tentative="1">
      <w:start w:val="1"/>
      <w:numFmt w:val="bullet"/>
      <w:lvlText w:val="o"/>
      <w:lvlJc w:val="left"/>
      <w:pPr>
        <w:tabs>
          <w:tab w:val="num" w:pos="5690"/>
        </w:tabs>
        <w:ind w:left="5690" w:hanging="360"/>
      </w:pPr>
      <w:rPr>
        <w:rFonts w:ascii="Courier New" w:hAnsi="Courier New" w:cs="Courier New" w:hint="default"/>
      </w:rPr>
    </w:lvl>
    <w:lvl w:ilvl="8" w:tplc="0C0A0005" w:tentative="1">
      <w:start w:val="1"/>
      <w:numFmt w:val="bullet"/>
      <w:lvlText w:val=""/>
      <w:lvlJc w:val="left"/>
      <w:pPr>
        <w:tabs>
          <w:tab w:val="num" w:pos="6410"/>
        </w:tabs>
        <w:ind w:left="6410" w:hanging="360"/>
      </w:pPr>
      <w:rPr>
        <w:rFonts w:ascii="Wingdings" w:hAnsi="Wingdings" w:hint="default"/>
      </w:rPr>
    </w:lvl>
  </w:abstractNum>
  <w:abstractNum w:abstractNumId="67">
    <w:nsid w:val="68C923BA"/>
    <w:multiLevelType w:val="hybridMultilevel"/>
    <w:tmpl w:val="FFA89EEE"/>
    <w:lvl w:ilvl="0" w:tplc="0C0A0003">
      <w:start w:val="1"/>
      <w:numFmt w:val="bullet"/>
      <w:lvlText w:val="o"/>
      <w:lvlJc w:val="left"/>
      <w:pPr>
        <w:tabs>
          <w:tab w:val="num" w:pos="1151"/>
        </w:tabs>
        <w:ind w:left="1151" w:hanging="360"/>
      </w:pPr>
      <w:rPr>
        <w:rFonts w:ascii="Courier New" w:hAnsi="Courier New" w:cs="Courier New" w:hint="default"/>
      </w:rPr>
    </w:lvl>
    <w:lvl w:ilvl="1" w:tplc="0C0A0003">
      <w:start w:val="1"/>
      <w:numFmt w:val="bullet"/>
      <w:lvlText w:val="o"/>
      <w:lvlJc w:val="left"/>
      <w:pPr>
        <w:tabs>
          <w:tab w:val="num" w:pos="1871"/>
        </w:tabs>
        <w:ind w:left="1871" w:hanging="360"/>
      </w:pPr>
      <w:rPr>
        <w:rFonts w:ascii="Courier New" w:hAnsi="Courier New" w:cs="Courier New" w:hint="default"/>
      </w:rPr>
    </w:lvl>
    <w:lvl w:ilvl="2" w:tplc="0C0A0005">
      <w:start w:val="1"/>
      <w:numFmt w:val="bullet"/>
      <w:lvlText w:val=""/>
      <w:lvlJc w:val="left"/>
      <w:pPr>
        <w:tabs>
          <w:tab w:val="num" w:pos="2591"/>
        </w:tabs>
        <w:ind w:left="2591" w:hanging="360"/>
      </w:pPr>
      <w:rPr>
        <w:rFonts w:ascii="Wingdings" w:hAnsi="Wingdings" w:hint="default"/>
      </w:rPr>
    </w:lvl>
    <w:lvl w:ilvl="3" w:tplc="0C0A0001">
      <w:start w:val="1"/>
      <w:numFmt w:val="bullet"/>
      <w:lvlText w:val=""/>
      <w:lvlJc w:val="left"/>
      <w:pPr>
        <w:tabs>
          <w:tab w:val="num" w:pos="3311"/>
        </w:tabs>
        <w:ind w:left="3311" w:hanging="360"/>
      </w:pPr>
      <w:rPr>
        <w:rFonts w:ascii="Symbol" w:hAnsi="Symbol" w:hint="default"/>
      </w:rPr>
    </w:lvl>
    <w:lvl w:ilvl="4" w:tplc="0C0A0003" w:tentative="1">
      <w:start w:val="1"/>
      <w:numFmt w:val="bullet"/>
      <w:lvlText w:val="o"/>
      <w:lvlJc w:val="left"/>
      <w:pPr>
        <w:tabs>
          <w:tab w:val="num" w:pos="4031"/>
        </w:tabs>
        <w:ind w:left="4031" w:hanging="360"/>
      </w:pPr>
      <w:rPr>
        <w:rFonts w:ascii="Courier New" w:hAnsi="Courier New" w:cs="Courier New" w:hint="default"/>
      </w:rPr>
    </w:lvl>
    <w:lvl w:ilvl="5" w:tplc="0C0A0005" w:tentative="1">
      <w:start w:val="1"/>
      <w:numFmt w:val="bullet"/>
      <w:lvlText w:val=""/>
      <w:lvlJc w:val="left"/>
      <w:pPr>
        <w:tabs>
          <w:tab w:val="num" w:pos="4751"/>
        </w:tabs>
        <w:ind w:left="4751" w:hanging="360"/>
      </w:pPr>
      <w:rPr>
        <w:rFonts w:ascii="Wingdings" w:hAnsi="Wingdings" w:hint="default"/>
      </w:rPr>
    </w:lvl>
    <w:lvl w:ilvl="6" w:tplc="0C0A0001" w:tentative="1">
      <w:start w:val="1"/>
      <w:numFmt w:val="bullet"/>
      <w:lvlText w:val=""/>
      <w:lvlJc w:val="left"/>
      <w:pPr>
        <w:tabs>
          <w:tab w:val="num" w:pos="5471"/>
        </w:tabs>
        <w:ind w:left="5471" w:hanging="360"/>
      </w:pPr>
      <w:rPr>
        <w:rFonts w:ascii="Symbol" w:hAnsi="Symbol" w:hint="default"/>
      </w:rPr>
    </w:lvl>
    <w:lvl w:ilvl="7" w:tplc="0C0A0003" w:tentative="1">
      <w:start w:val="1"/>
      <w:numFmt w:val="bullet"/>
      <w:lvlText w:val="o"/>
      <w:lvlJc w:val="left"/>
      <w:pPr>
        <w:tabs>
          <w:tab w:val="num" w:pos="6191"/>
        </w:tabs>
        <w:ind w:left="6191" w:hanging="360"/>
      </w:pPr>
      <w:rPr>
        <w:rFonts w:ascii="Courier New" w:hAnsi="Courier New" w:cs="Courier New" w:hint="default"/>
      </w:rPr>
    </w:lvl>
    <w:lvl w:ilvl="8" w:tplc="0C0A0005" w:tentative="1">
      <w:start w:val="1"/>
      <w:numFmt w:val="bullet"/>
      <w:lvlText w:val=""/>
      <w:lvlJc w:val="left"/>
      <w:pPr>
        <w:tabs>
          <w:tab w:val="num" w:pos="6911"/>
        </w:tabs>
        <w:ind w:left="6911" w:hanging="360"/>
      </w:pPr>
      <w:rPr>
        <w:rFonts w:ascii="Wingdings" w:hAnsi="Wingdings" w:hint="default"/>
      </w:rPr>
    </w:lvl>
  </w:abstractNum>
  <w:abstractNum w:abstractNumId="68">
    <w:nsid w:val="68CA6573"/>
    <w:multiLevelType w:val="hybridMultilevel"/>
    <w:tmpl w:val="8C0A062E"/>
    <w:lvl w:ilvl="0" w:tplc="94E6DAEA">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9">
    <w:nsid w:val="69B46BA0"/>
    <w:multiLevelType w:val="multilevel"/>
    <w:tmpl w:val="9744944A"/>
    <w:lvl w:ilvl="0">
      <w:start w:val="1"/>
      <w:numFmt w:val="upperLetter"/>
      <w:pStyle w:val="Apendice1"/>
      <w:lvlText w:val="%1."/>
      <w:lvlJc w:val="left"/>
      <w:pPr>
        <w:tabs>
          <w:tab w:val="num" w:pos="360"/>
        </w:tabs>
        <w:ind w:left="360" w:hanging="360"/>
      </w:pPr>
    </w:lvl>
    <w:lvl w:ilvl="1">
      <w:start w:val="1"/>
      <w:numFmt w:val="decimal"/>
      <w:pStyle w:val="Apendice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nsid w:val="6E7F42D6"/>
    <w:multiLevelType w:val="multilevel"/>
    <w:tmpl w:val="F7A2CADE"/>
    <w:lvl w:ilvl="0">
      <w:start w:val="1"/>
      <w:numFmt w:val="bullet"/>
      <w:pStyle w:val="Listaconvietas3"/>
      <w:lvlText w:val="o"/>
      <w:lvlJc w:val="left"/>
      <w:pPr>
        <w:tabs>
          <w:tab w:val="num" w:pos="-31680"/>
        </w:tabs>
        <w:ind w:left="357" w:firstLine="1174"/>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nsid w:val="74581744"/>
    <w:multiLevelType w:val="hybridMultilevel"/>
    <w:tmpl w:val="921CDCEA"/>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72">
    <w:nsid w:val="75B8628E"/>
    <w:multiLevelType w:val="multilevel"/>
    <w:tmpl w:val="1EA274CC"/>
    <w:lvl w:ilvl="0">
      <w:start w:val="1"/>
      <w:numFmt w:val="decimal"/>
      <w:lvlText w:val="%1."/>
      <w:lvlJc w:val="left"/>
      <w:pPr>
        <w:tabs>
          <w:tab w:val="num" w:pos="-1065"/>
        </w:tabs>
        <w:ind w:left="-1065" w:hanging="360"/>
      </w:pPr>
    </w:lvl>
    <w:lvl w:ilvl="1">
      <w:start w:val="1"/>
      <w:numFmt w:val="lowerLetter"/>
      <w:lvlText w:val="%2."/>
      <w:lvlJc w:val="left"/>
      <w:pPr>
        <w:tabs>
          <w:tab w:val="num" w:pos="-345"/>
        </w:tabs>
        <w:ind w:left="-345" w:hanging="360"/>
      </w:pPr>
    </w:lvl>
    <w:lvl w:ilvl="2">
      <w:start w:val="1"/>
      <w:numFmt w:val="lowerRoman"/>
      <w:lvlText w:val="%3."/>
      <w:lvlJc w:val="right"/>
      <w:pPr>
        <w:tabs>
          <w:tab w:val="num" w:pos="375"/>
        </w:tabs>
        <w:ind w:left="375" w:hanging="180"/>
      </w:pPr>
    </w:lvl>
    <w:lvl w:ilvl="3">
      <w:start w:val="1"/>
      <w:numFmt w:val="decimal"/>
      <w:lvlText w:val="%4."/>
      <w:lvlJc w:val="left"/>
      <w:pPr>
        <w:tabs>
          <w:tab w:val="num" w:pos="1095"/>
        </w:tabs>
        <w:ind w:left="1095" w:hanging="360"/>
      </w:pPr>
    </w:lvl>
    <w:lvl w:ilvl="4">
      <w:start w:val="1"/>
      <w:numFmt w:val="lowerLetter"/>
      <w:lvlText w:val="%5."/>
      <w:lvlJc w:val="left"/>
      <w:pPr>
        <w:tabs>
          <w:tab w:val="num" w:pos="1815"/>
        </w:tabs>
        <w:ind w:left="1815" w:hanging="360"/>
      </w:pPr>
    </w:lvl>
    <w:lvl w:ilvl="5">
      <w:start w:val="1"/>
      <w:numFmt w:val="lowerRoman"/>
      <w:lvlText w:val="%6."/>
      <w:lvlJc w:val="right"/>
      <w:pPr>
        <w:tabs>
          <w:tab w:val="num" w:pos="2535"/>
        </w:tabs>
        <w:ind w:left="2535" w:hanging="180"/>
      </w:pPr>
    </w:lvl>
    <w:lvl w:ilvl="6">
      <w:start w:val="1"/>
      <w:numFmt w:val="decimal"/>
      <w:lvlText w:val="%7."/>
      <w:lvlJc w:val="left"/>
      <w:pPr>
        <w:tabs>
          <w:tab w:val="num" w:pos="3255"/>
        </w:tabs>
        <w:ind w:left="3255" w:hanging="360"/>
      </w:pPr>
    </w:lvl>
    <w:lvl w:ilvl="7">
      <w:start w:val="1"/>
      <w:numFmt w:val="lowerLetter"/>
      <w:lvlText w:val="%8."/>
      <w:lvlJc w:val="left"/>
      <w:pPr>
        <w:tabs>
          <w:tab w:val="num" w:pos="3975"/>
        </w:tabs>
        <w:ind w:left="3975" w:hanging="360"/>
      </w:pPr>
    </w:lvl>
    <w:lvl w:ilvl="8">
      <w:start w:val="1"/>
      <w:numFmt w:val="lowerRoman"/>
      <w:lvlText w:val="%9."/>
      <w:lvlJc w:val="right"/>
      <w:pPr>
        <w:tabs>
          <w:tab w:val="num" w:pos="4695"/>
        </w:tabs>
        <w:ind w:left="4695" w:hanging="180"/>
      </w:pPr>
    </w:lvl>
  </w:abstractNum>
  <w:abstractNum w:abstractNumId="73">
    <w:nsid w:val="75D407FB"/>
    <w:multiLevelType w:val="multilevel"/>
    <w:tmpl w:val="0A6E6AE0"/>
    <w:lvl w:ilvl="0">
      <w:start w:val="1"/>
      <w:numFmt w:val="bullet"/>
      <w:pStyle w:val="Listaconvietas"/>
      <w:lvlText w:val=""/>
      <w:lvlJc w:val="left"/>
      <w:pPr>
        <w:tabs>
          <w:tab w:val="num" w:pos="1233"/>
        </w:tabs>
        <w:ind w:left="1233" w:hanging="360"/>
      </w:pPr>
      <w:rPr>
        <w:rFonts w:ascii="Symbol" w:hAnsi="Symbol" w:hint="default"/>
      </w:rPr>
    </w:lvl>
    <w:lvl w:ilvl="1">
      <w:start w:val="1"/>
      <w:numFmt w:val="bullet"/>
      <w:pStyle w:val="Listaconvietas"/>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numFmt w:val="bullet"/>
      <w:lvlText w:val="-"/>
      <w:lvlJc w:val="left"/>
      <w:pPr>
        <w:tabs>
          <w:tab w:val="num" w:pos="2880"/>
        </w:tabs>
        <w:ind w:left="2880" w:hanging="360"/>
      </w:pPr>
      <w:rPr>
        <w:rFonts w:ascii="Times New Roman" w:eastAsia="Times New Roman" w:hAnsi="Times New Roman" w:cs="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nsid w:val="762F4289"/>
    <w:multiLevelType w:val="hybridMultilevel"/>
    <w:tmpl w:val="A81E1ED8"/>
    <w:lvl w:ilvl="0" w:tplc="0C0A000F">
      <w:start w:val="1"/>
      <w:numFmt w:val="decimal"/>
      <w:lvlText w:val="%1."/>
      <w:lvlJc w:val="left"/>
      <w:pPr>
        <w:tabs>
          <w:tab w:val="num" w:pos="1211"/>
        </w:tabs>
        <w:ind w:left="1211" w:hanging="360"/>
      </w:pPr>
      <w:rPr>
        <w:rFonts w:hint="default"/>
      </w:rPr>
    </w:lvl>
    <w:lvl w:ilvl="1" w:tplc="0C0A0003">
      <w:start w:val="1"/>
      <w:numFmt w:val="bullet"/>
      <w:lvlText w:val="o"/>
      <w:lvlJc w:val="left"/>
      <w:pPr>
        <w:tabs>
          <w:tab w:val="num" w:pos="1931"/>
        </w:tabs>
        <w:ind w:left="1931" w:hanging="360"/>
      </w:pPr>
      <w:rPr>
        <w:rFonts w:ascii="Courier New" w:hAnsi="Courier New" w:hint="default"/>
      </w:rPr>
    </w:lvl>
    <w:lvl w:ilvl="2" w:tplc="0C0A0005" w:tentative="1">
      <w:start w:val="1"/>
      <w:numFmt w:val="bullet"/>
      <w:lvlText w:val=""/>
      <w:lvlJc w:val="left"/>
      <w:pPr>
        <w:tabs>
          <w:tab w:val="num" w:pos="2651"/>
        </w:tabs>
        <w:ind w:left="2651" w:hanging="360"/>
      </w:pPr>
      <w:rPr>
        <w:rFonts w:ascii="Wingdings" w:hAnsi="Wingdings" w:hint="default"/>
      </w:rPr>
    </w:lvl>
    <w:lvl w:ilvl="3" w:tplc="0C0A0001" w:tentative="1">
      <w:start w:val="1"/>
      <w:numFmt w:val="bullet"/>
      <w:lvlText w:val=""/>
      <w:lvlJc w:val="left"/>
      <w:pPr>
        <w:tabs>
          <w:tab w:val="num" w:pos="3371"/>
        </w:tabs>
        <w:ind w:left="3371" w:hanging="360"/>
      </w:pPr>
      <w:rPr>
        <w:rFonts w:ascii="Symbol" w:hAnsi="Symbol" w:hint="default"/>
      </w:rPr>
    </w:lvl>
    <w:lvl w:ilvl="4" w:tplc="0C0A0003" w:tentative="1">
      <w:start w:val="1"/>
      <w:numFmt w:val="bullet"/>
      <w:lvlText w:val="o"/>
      <w:lvlJc w:val="left"/>
      <w:pPr>
        <w:tabs>
          <w:tab w:val="num" w:pos="4091"/>
        </w:tabs>
        <w:ind w:left="4091" w:hanging="360"/>
      </w:pPr>
      <w:rPr>
        <w:rFonts w:ascii="Courier New" w:hAnsi="Courier New" w:hint="default"/>
      </w:rPr>
    </w:lvl>
    <w:lvl w:ilvl="5" w:tplc="0C0A0005" w:tentative="1">
      <w:start w:val="1"/>
      <w:numFmt w:val="bullet"/>
      <w:lvlText w:val=""/>
      <w:lvlJc w:val="left"/>
      <w:pPr>
        <w:tabs>
          <w:tab w:val="num" w:pos="4811"/>
        </w:tabs>
        <w:ind w:left="4811" w:hanging="360"/>
      </w:pPr>
      <w:rPr>
        <w:rFonts w:ascii="Wingdings" w:hAnsi="Wingdings" w:hint="default"/>
      </w:rPr>
    </w:lvl>
    <w:lvl w:ilvl="6" w:tplc="0C0A0001" w:tentative="1">
      <w:start w:val="1"/>
      <w:numFmt w:val="bullet"/>
      <w:lvlText w:val=""/>
      <w:lvlJc w:val="left"/>
      <w:pPr>
        <w:tabs>
          <w:tab w:val="num" w:pos="5531"/>
        </w:tabs>
        <w:ind w:left="5531" w:hanging="360"/>
      </w:pPr>
      <w:rPr>
        <w:rFonts w:ascii="Symbol" w:hAnsi="Symbol" w:hint="default"/>
      </w:rPr>
    </w:lvl>
    <w:lvl w:ilvl="7" w:tplc="0C0A0003" w:tentative="1">
      <w:start w:val="1"/>
      <w:numFmt w:val="bullet"/>
      <w:lvlText w:val="o"/>
      <w:lvlJc w:val="left"/>
      <w:pPr>
        <w:tabs>
          <w:tab w:val="num" w:pos="6251"/>
        </w:tabs>
        <w:ind w:left="6251" w:hanging="360"/>
      </w:pPr>
      <w:rPr>
        <w:rFonts w:ascii="Courier New" w:hAnsi="Courier New" w:hint="default"/>
      </w:rPr>
    </w:lvl>
    <w:lvl w:ilvl="8" w:tplc="0C0A0005" w:tentative="1">
      <w:start w:val="1"/>
      <w:numFmt w:val="bullet"/>
      <w:lvlText w:val=""/>
      <w:lvlJc w:val="left"/>
      <w:pPr>
        <w:tabs>
          <w:tab w:val="num" w:pos="6971"/>
        </w:tabs>
        <w:ind w:left="6971" w:hanging="360"/>
      </w:pPr>
      <w:rPr>
        <w:rFonts w:ascii="Wingdings" w:hAnsi="Wingdings" w:hint="default"/>
      </w:rPr>
    </w:lvl>
  </w:abstractNum>
  <w:abstractNum w:abstractNumId="75">
    <w:nsid w:val="77182A76"/>
    <w:multiLevelType w:val="hybridMultilevel"/>
    <w:tmpl w:val="1EA274CC"/>
    <w:lvl w:ilvl="0" w:tplc="0C0A000F">
      <w:start w:val="1"/>
      <w:numFmt w:val="decimal"/>
      <w:lvlText w:val="%1."/>
      <w:lvlJc w:val="left"/>
      <w:pPr>
        <w:tabs>
          <w:tab w:val="num" w:pos="-1065"/>
        </w:tabs>
        <w:ind w:left="-1065" w:hanging="360"/>
      </w:pPr>
    </w:lvl>
    <w:lvl w:ilvl="1" w:tplc="0C0A0019" w:tentative="1">
      <w:start w:val="1"/>
      <w:numFmt w:val="lowerLetter"/>
      <w:lvlText w:val="%2."/>
      <w:lvlJc w:val="left"/>
      <w:pPr>
        <w:tabs>
          <w:tab w:val="num" w:pos="-345"/>
        </w:tabs>
        <w:ind w:left="-345" w:hanging="360"/>
      </w:pPr>
    </w:lvl>
    <w:lvl w:ilvl="2" w:tplc="0C0A001B" w:tentative="1">
      <w:start w:val="1"/>
      <w:numFmt w:val="lowerRoman"/>
      <w:lvlText w:val="%3."/>
      <w:lvlJc w:val="right"/>
      <w:pPr>
        <w:tabs>
          <w:tab w:val="num" w:pos="375"/>
        </w:tabs>
        <w:ind w:left="375" w:hanging="180"/>
      </w:pPr>
    </w:lvl>
    <w:lvl w:ilvl="3" w:tplc="0C0A000F" w:tentative="1">
      <w:start w:val="1"/>
      <w:numFmt w:val="decimal"/>
      <w:lvlText w:val="%4."/>
      <w:lvlJc w:val="left"/>
      <w:pPr>
        <w:tabs>
          <w:tab w:val="num" w:pos="1095"/>
        </w:tabs>
        <w:ind w:left="1095" w:hanging="360"/>
      </w:pPr>
    </w:lvl>
    <w:lvl w:ilvl="4" w:tplc="0C0A0019" w:tentative="1">
      <w:start w:val="1"/>
      <w:numFmt w:val="lowerLetter"/>
      <w:lvlText w:val="%5."/>
      <w:lvlJc w:val="left"/>
      <w:pPr>
        <w:tabs>
          <w:tab w:val="num" w:pos="1815"/>
        </w:tabs>
        <w:ind w:left="1815" w:hanging="360"/>
      </w:pPr>
    </w:lvl>
    <w:lvl w:ilvl="5" w:tplc="0C0A001B" w:tentative="1">
      <w:start w:val="1"/>
      <w:numFmt w:val="lowerRoman"/>
      <w:lvlText w:val="%6."/>
      <w:lvlJc w:val="right"/>
      <w:pPr>
        <w:tabs>
          <w:tab w:val="num" w:pos="2535"/>
        </w:tabs>
        <w:ind w:left="2535" w:hanging="180"/>
      </w:pPr>
    </w:lvl>
    <w:lvl w:ilvl="6" w:tplc="0C0A000F" w:tentative="1">
      <w:start w:val="1"/>
      <w:numFmt w:val="decimal"/>
      <w:lvlText w:val="%7."/>
      <w:lvlJc w:val="left"/>
      <w:pPr>
        <w:tabs>
          <w:tab w:val="num" w:pos="3255"/>
        </w:tabs>
        <w:ind w:left="3255" w:hanging="360"/>
      </w:pPr>
    </w:lvl>
    <w:lvl w:ilvl="7" w:tplc="0C0A0019" w:tentative="1">
      <w:start w:val="1"/>
      <w:numFmt w:val="lowerLetter"/>
      <w:lvlText w:val="%8."/>
      <w:lvlJc w:val="left"/>
      <w:pPr>
        <w:tabs>
          <w:tab w:val="num" w:pos="3975"/>
        </w:tabs>
        <w:ind w:left="3975" w:hanging="360"/>
      </w:pPr>
    </w:lvl>
    <w:lvl w:ilvl="8" w:tplc="0C0A001B" w:tentative="1">
      <w:start w:val="1"/>
      <w:numFmt w:val="lowerRoman"/>
      <w:lvlText w:val="%9."/>
      <w:lvlJc w:val="right"/>
      <w:pPr>
        <w:tabs>
          <w:tab w:val="num" w:pos="4695"/>
        </w:tabs>
        <w:ind w:left="4695" w:hanging="180"/>
      </w:pPr>
    </w:lvl>
  </w:abstractNum>
  <w:abstractNum w:abstractNumId="76">
    <w:nsid w:val="788715D3"/>
    <w:multiLevelType w:val="hybridMultilevel"/>
    <w:tmpl w:val="C9542D0E"/>
    <w:lvl w:ilvl="0" w:tplc="0C0A0001">
      <w:start w:val="1"/>
      <w:numFmt w:val="bullet"/>
      <w:lvlText w:val=""/>
      <w:lvlJc w:val="left"/>
      <w:pPr>
        <w:tabs>
          <w:tab w:val="num" w:pos="1224"/>
        </w:tabs>
        <w:ind w:left="1224" w:hanging="360"/>
      </w:pPr>
      <w:rPr>
        <w:rFonts w:ascii="Symbol" w:hAnsi="Symbol" w:hint="default"/>
      </w:rPr>
    </w:lvl>
    <w:lvl w:ilvl="1" w:tplc="0C0A0003" w:tentative="1">
      <w:start w:val="1"/>
      <w:numFmt w:val="bullet"/>
      <w:lvlText w:val="o"/>
      <w:lvlJc w:val="left"/>
      <w:pPr>
        <w:tabs>
          <w:tab w:val="num" w:pos="1944"/>
        </w:tabs>
        <w:ind w:left="1944" w:hanging="360"/>
      </w:pPr>
      <w:rPr>
        <w:rFonts w:ascii="Courier New" w:hAnsi="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77">
    <w:nsid w:val="79BA3072"/>
    <w:multiLevelType w:val="hybridMultilevel"/>
    <w:tmpl w:val="767A87DC"/>
    <w:lvl w:ilvl="0" w:tplc="9F2E36C2">
      <w:start w:val="1"/>
      <w:numFmt w:val="decimal"/>
      <w:lvlText w:val="%1."/>
      <w:lvlJc w:val="left"/>
      <w:pPr>
        <w:tabs>
          <w:tab w:val="num" w:pos="792"/>
        </w:tabs>
        <w:ind w:left="792" w:hanging="360"/>
      </w:pPr>
      <w:rPr>
        <w:rFonts w:hint="default"/>
      </w:rPr>
    </w:lvl>
    <w:lvl w:ilvl="1" w:tplc="0C0A000F">
      <w:start w:val="1"/>
      <w:numFmt w:val="decimal"/>
      <w:lvlText w:val="%2."/>
      <w:lvlJc w:val="left"/>
      <w:pPr>
        <w:tabs>
          <w:tab w:val="num" w:pos="1490"/>
        </w:tabs>
        <w:ind w:left="1490" w:hanging="360"/>
      </w:pPr>
      <w:rPr>
        <w:rFonts w:hint="default"/>
      </w:rPr>
    </w:lvl>
    <w:lvl w:ilvl="2" w:tplc="0C0A0005" w:tentative="1">
      <w:start w:val="1"/>
      <w:numFmt w:val="bullet"/>
      <w:lvlText w:val=""/>
      <w:lvlJc w:val="left"/>
      <w:pPr>
        <w:tabs>
          <w:tab w:val="num" w:pos="2210"/>
        </w:tabs>
        <w:ind w:left="2210" w:hanging="360"/>
      </w:pPr>
      <w:rPr>
        <w:rFonts w:ascii="Wingdings" w:hAnsi="Wingdings" w:hint="default"/>
      </w:rPr>
    </w:lvl>
    <w:lvl w:ilvl="3" w:tplc="0C0A0001" w:tentative="1">
      <w:start w:val="1"/>
      <w:numFmt w:val="bullet"/>
      <w:lvlText w:val=""/>
      <w:lvlJc w:val="left"/>
      <w:pPr>
        <w:tabs>
          <w:tab w:val="num" w:pos="2930"/>
        </w:tabs>
        <w:ind w:left="2930" w:hanging="360"/>
      </w:pPr>
      <w:rPr>
        <w:rFonts w:ascii="Symbol" w:hAnsi="Symbol" w:hint="default"/>
      </w:rPr>
    </w:lvl>
    <w:lvl w:ilvl="4" w:tplc="0C0A0003" w:tentative="1">
      <w:start w:val="1"/>
      <w:numFmt w:val="bullet"/>
      <w:lvlText w:val="o"/>
      <w:lvlJc w:val="left"/>
      <w:pPr>
        <w:tabs>
          <w:tab w:val="num" w:pos="3650"/>
        </w:tabs>
        <w:ind w:left="3650" w:hanging="360"/>
      </w:pPr>
      <w:rPr>
        <w:rFonts w:ascii="Courier New" w:hAnsi="Courier New" w:cs="Courier New" w:hint="default"/>
      </w:rPr>
    </w:lvl>
    <w:lvl w:ilvl="5" w:tplc="0C0A0005" w:tentative="1">
      <w:start w:val="1"/>
      <w:numFmt w:val="bullet"/>
      <w:lvlText w:val=""/>
      <w:lvlJc w:val="left"/>
      <w:pPr>
        <w:tabs>
          <w:tab w:val="num" w:pos="4370"/>
        </w:tabs>
        <w:ind w:left="4370" w:hanging="360"/>
      </w:pPr>
      <w:rPr>
        <w:rFonts w:ascii="Wingdings" w:hAnsi="Wingdings" w:hint="default"/>
      </w:rPr>
    </w:lvl>
    <w:lvl w:ilvl="6" w:tplc="0C0A0001" w:tentative="1">
      <w:start w:val="1"/>
      <w:numFmt w:val="bullet"/>
      <w:lvlText w:val=""/>
      <w:lvlJc w:val="left"/>
      <w:pPr>
        <w:tabs>
          <w:tab w:val="num" w:pos="5090"/>
        </w:tabs>
        <w:ind w:left="5090" w:hanging="360"/>
      </w:pPr>
      <w:rPr>
        <w:rFonts w:ascii="Symbol" w:hAnsi="Symbol" w:hint="default"/>
      </w:rPr>
    </w:lvl>
    <w:lvl w:ilvl="7" w:tplc="0C0A0003" w:tentative="1">
      <w:start w:val="1"/>
      <w:numFmt w:val="bullet"/>
      <w:lvlText w:val="o"/>
      <w:lvlJc w:val="left"/>
      <w:pPr>
        <w:tabs>
          <w:tab w:val="num" w:pos="5810"/>
        </w:tabs>
        <w:ind w:left="5810" w:hanging="360"/>
      </w:pPr>
      <w:rPr>
        <w:rFonts w:ascii="Courier New" w:hAnsi="Courier New" w:cs="Courier New" w:hint="default"/>
      </w:rPr>
    </w:lvl>
    <w:lvl w:ilvl="8" w:tplc="0C0A0005" w:tentative="1">
      <w:start w:val="1"/>
      <w:numFmt w:val="bullet"/>
      <w:lvlText w:val=""/>
      <w:lvlJc w:val="left"/>
      <w:pPr>
        <w:tabs>
          <w:tab w:val="num" w:pos="6530"/>
        </w:tabs>
        <w:ind w:left="6530" w:hanging="360"/>
      </w:pPr>
      <w:rPr>
        <w:rFonts w:ascii="Wingdings" w:hAnsi="Wingdings" w:hint="default"/>
      </w:rPr>
    </w:lvl>
  </w:abstractNum>
  <w:abstractNum w:abstractNumId="78">
    <w:nsid w:val="7A52018E"/>
    <w:multiLevelType w:val="hybridMultilevel"/>
    <w:tmpl w:val="A382301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nsid w:val="7B635879"/>
    <w:multiLevelType w:val="hybridMultilevel"/>
    <w:tmpl w:val="9FDA1E68"/>
    <w:lvl w:ilvl="0" w:tplc="0C0A000D">
      <w:start w:val="1"/>
      <w:numFmt w:val="bullet"/>
      <w:lvlText w:val=""/>
      <w:lvlJc w:val="left"/>
      <w:pPr>
        <w:tabs>
          <w:tab w:val="num" w:pos="2203"/>
        </w:tabs>
        <w:ind w:left="2203" w:hanging="360"/>
      </w:pPr>
      <w:rPr>
        <w:rFonts w:ascii="Wingdings" w:hAnsi="Wingdings" w:hint="default"/>
      </w:rPr>
    </w:lvl>
    <w:lvl w:ilvl="1" w:tplc="0C0A0003" w:tentative="1">
      <w:start w:val="1"/>
      <w:numFmt w:val="bullet"/>
      <w:lvlText w:val="o"/>
      <w:lvlJc w:val="left"/>
      <w:pPr>
        <w:tabs>
          <w:tab w:val="num" w:pos="2923"/>
        </w:tabs>
        <w:ind w:left="2923" w:hanging="360"/>
      </w:pPr>
      <w:rPr>
        <w:rFonts w:ascii="Courier New" w:hAnsi="Courier New" w:cs="Courier New" w:hint="default"/>
      </w:rPr>
    </w:lvl>
    <w:lvl w:ilvl="2" w:tplc="0C0A0005">
      <w:start w:val="1"/>
      <w:numFmt w:val="bullet"/>
      <w:lvlText w:val=""/>
      <w:lvlJc w:val="left"/>
      <w:pPr>
        <w:tabs>
          <w:tab w:val="num" w:pos="1736"/>
        </w:tabs>
        <w:ind w:left="1736" w:hanging="360"/>
      </w:pPr>
      <w:rPr>
        <w:rFonts w:ascii="Wingdings" w:hAnsi="Wingdings" w:hint="default"/>
      </w:rPr>
    </w:lvl>
    <w:lvl w:ilvl="3" w:tplc="0C0A0001">
      <w:start w:val="1"/>
      <w:numFmt w:val="bullet"/>
      <w:lvlText w:val=""/>
      <w:lvlJc w:val="left"/>
      <w:pPr>
        <w:tabs>
          <w:tab w:val="num" w:pos="4363"/>
        </w:tabs>
        <w:ind w:left="4363" w:hanging="360"/>
      </w:pPr>
      <w:rPr>
        <w:rFonts w:ascii="Symbol" w:hAnsi="Symbol" w:hint="default"/>
      </w:rPr>
    </w:lvl>
    <w:lvl w:ilvl="4" w:tplc="0C0A0003" w:tentative="1">
      <w:start w:val="1"/>
      <w:numFmt w:val="bullet"/>
      <w:lvlText w:val="o"/>
      <w:lvlJc w:val="left"/>
      <w:pPr>
        <w:tabs>
          <w:tab w:val="num" w:pos="5083"/>
        </w:tabs>
        <w:ind w:left="5083" w:hanging="360"/>
      </w:pPr>
      <w:rPr>
        <w:rFonts w:ascii="Courier New" w:hAnsi="Courier New" w:cs="Courier New" w:hint="default"/>
      </w:rPr>
    </w:lvl>
    <w:lvl w:ilvl="5" w:tplc="0C0A0005" w:tentative="1">
      <w:start w:val="1"/>
      <w:numFmt w:val="bullet"/>
      <w:lvlText w:val=""/>
      <w:lvlJc w:val="left"/>
      <w:pPr>
        <w:tabs>
          <w:tab w:val="num" w:pos="5803"/>
        </w:tabs>
        <w:ind w:left="5803" w:hanging="360"/>
      </w:pPr>
      <w:rPr>
        <w:rFonts w:ascii="Wingdings" w:hAnsi="Wingdings" w:hint="default"/>
      </w:rPr>
    </w:lvl>
    <w:lvl w:ilvl="6" w:tplc="0C0A0001" w:tentative="1">
      <w:start w:val="1"/>
      <w:numFmt w:val="bullet"/>
      <w:lvlText w:val=""/>
      <w:lvlJc w:val="left"/>
      <w:pPr>
        <w:tabs>
          <w:tab w:val="num" w:pos="6523"/>
        </w:tabs>
        <w:ind w:left="6523" w:hanging="360"/>
      </w:pPr>
      <w:rPr>
        <w:rFonts w:ascii="Symbol" w:hAnsi="Symbol" w:hint="default"/>
      </w:rPr>
    </w:lvl>
    <w:lvl w:ilvl="7" w:tplc="0C0A0003" w:tentative="1">
      <w:start w:val="1"/>
      <w:numFmt w:val="bullet"/>
      <w:lvlText w:val="o"/>
      <w:lvlJc w:val="left"/>
      <w:pPr>
        <w:tabs>
          <w:tab w:val="num" w:pos="7243"/>
        </w:tabs>
        <w:ind w:left="7243" w:hanging="360"/>
      </w:pPr>
      <w:rPr>
        <w:rFonts w:ascii="Courier New" w:hAnsi="Courier New" w:cs="Courier New" w:hint="default"/>
      </w:rPr>
    </w:lvl>
    <w:lvl w:ilvl="8" w:tplc="0C0A0005" w:tentative="1">
      <w:start w:val="1"/>
      <w:numFmt w:val="bullet"/>
      <w:lvlText w:val=""/>
      <w:lvlJc w:val="left"/>
      <w:pPr>
        <w:tabs>
          <w:tab w:val="num" w:pos="7963"/>
        </w:tabs>
        <w:ind w:left="7963" w:hanging="360"/>
      </w:pPr>
      <w:rPr>
        <w:rFonts w:ascii="Wingdings" w:hAnsi="Wingdings" w:hint="default"/>
      </w:rPr>
    </w:lvl>
  </w:abstractNum>
  <w:abstractNum w:abstractNumId="80">
    <w:nsid w:val="7C627D2C"/>
    <w:multiLevelType w:val="hybridMultilevel"/>
    <w:tmpl w:val="A6406F56"/>
    <w:lvl w:ilvl="0" w:tplc="9D881342">
      <w:start w:val="1"/>
      <w:numFmt w:val="decimal"/>
      <w:lvlText w:val="%1."/>
      <w:lvlJc w:val="left"/>
      <w:pPr>
        <w:tabs>
          <w:tab w:val="num" w:pos="1656"/>
        </w:tabs>
        <w:ind w:left="1656" w:hanging="360"/>
      </w:pPr>
      <w:rPr>
        <w:rFonts w:hint="default"/>
        <w:b w:val="0"/>
        <w:i w:val="0"/>
        <w:color w:val="auto"/>
        <w:u w:val="none"/>
        <w:em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nsid w:val="7D7F3E96"/>
    <w:multiLevelType w:val="hybridMultilevel"/>
    <w:tmpl w:val="9CE0C2A0"/>
    <w:lvl w:ilvl="0" w:tplc="0C0A0005">
      <w:start w:val="1"/>
      <w:numFmt w:val="bullet"/>
      <w:lvlText w:val=""/>
      <w:lvlJc w:val="left"/>
      <w:pPr>
        <w:tabs>
          <w:tab w:val="num" w:pos="1173"/>
        </w:tabs>
        <w:ind w:left="1173" w:hanging="360"/>
      </w:pPr>
      <w:rPr>
        <w:rFonts w:ascii="Wingdings" w:hAnsi="Wingdings" w:hint="default"/>
      </w:rPr>
    </w:lvl>
    <w:lvl w:ilvl="1" w:tplc="0C0A0003">
      <w:start w:val="1"/>
      <w:numFmt w:val="bullet"/>
      <w:lvlText w:val="o"/>
      <w:lvlJc w:val="left"/>
      <w:pPr>
        <w:tabs>
          <w:tab w:val="num" w:pos="1893"/>
        </w:tabs>
        <w:ind w:left="1893" w:hanging="360"/>
      </w:pPr>
      <w:rPr>
        <w:rFonts w:ascii="Courier New" w:hAnsi="Courier New" w:cs="Courier New" w:hint="default"/>
      </w:rPr>
    </w:lvl>
    <w:lvl w:ilvl="2" w:tplc="0C0A0005" w:tentative="1">
      <w:start w:val="1"/>
      <w:numFmt w:val="bullet"/>
      <w:lvlText w:val=""/>
      <w:lvlJc w:val="left"/>
      <w:pPr>
        <w:tabs>
          <w:tab w:val="num" w:pos="2613"/>
        </w:tabs>
        <w:ind w:left="2613" w:hanging="360"/>
      </w:pPr>
      <w:rPr>
        <w:rFonts w:ascii="Wingdings" w:hAnsi="Wingdings" w:hint="default"/>
      </w:rPr>
    </w:lvl>
    <w:lvl w:ilvl="3" w:tplc="0C0A0001" w:tentative="1">
      <w:start w:val="1"/>
      <w:numFmt w:val="bullet"/>
      <w:lvlText w:val=""/>
      <w:lvlJc w:val="left"/>
      <w:pPr>
        <w:tabs>
          <w:tab w:val="num" w:pos="3333"/>
        </w:tabs>
        <w:ind w:left="3333" w:hanging="360"/>
      </w:pPr>
      <w:rPr>
        <w:rFonts w:ascii="Symbol" w:hAnsi="Symbol" w:hint="default"/>
      </w:rPr>
    </w:lvl>
    <w:lvl w:ilvl="4" w:tplc="0C0A0003" w:tentative="1">
      <w:start w:val="1"/>
      <w:numFmt w:val="bullet"/>
      <w:lvlText w:val="o"/>
      <w:lvlJc w:val="left"/>
      <w:pPr>
        <w:tabs>
          <w:tab w:val="num" w:pos="4053"/>
        </w:tabs>
        <w:ind w:left="4053" w:hanging="360"/>
      </w:pPr>
      <w:rPr>
        <w:rFonts w:ascii="Courier New" w:hAnsi="Courier New" w:cs="Courier New" w:hint="default"/>
      </w:rPr>
    </w:lvl>
    <w:lvl w:ilvl="5" w:tplc="0C0A0005" w:tentative="1">
      <w:start w:val="1"/>
      <w:numFmt w:val="bullet"/>
      <w:lvlText w:val=""/>
      <w:lvlJc w:val="left"/>
      <w:pPr>
        <w:tabs>
          <w:tab w:val="num" w:pos="4773"/>
        </w:tabs>
        <w:ind w:left="4773" w:hanging="360"/>
      </w:pPr>
      <w:rPr>
        <w:rFonts w:ascii="Wingdings" w:hAnsi="Wingdings" w:hint="default"/>
      </w:rPr>
    </w:lvl>
    <w:lvl w:ilvl="6" w:tplc="0C0A0001" w:tentative="1">
      <w:start w:val="1"/>
      <w:numFmt w:val="bullet"/>
      <w:lvlText w:val=""/>
      <w:lvlJc w:val="left"/>
      <w:pPr>
        <w:tabs>
          <w:tab w:val="num" w:pos="5493"/>
        </w:tabs>
        <w:ind w:left="5493" w:hanging="360"/>
      </w:pPr>
      <w:rPr>
        <w:rFonts w:ascii="Symbol" w:hAnsi="Symbol" w:hint="default"/>
      </w:rPr>
    </w:lvl>
    <w:lvl w:ilvl="7" w:tplc="0C0A0003" w:tentative="1">
      <w:start w:val="1"/>
      <w:numFmt w:val="bullet"/>
      <w:lvlText w:val="o"/>
      <w:lvlJc w:val="left"/>
      <w:pPr>
        <w:tabs>
          <w:tab w:val="num" w:pos="6213"/>
        </w:tabs>
        <w:ind w:left="6213" w:hanging="360"/>
      </w:pPr>
      <w:rPr>
        <w:rFonts w:ascii="Courier New" w:hAnsi="Courier New" w:cs="Courier New" w:hint="default"/>
      </w:rPr>
    </w:lvl>
    <w:lvl w:ilvl="8" w:tplc="0C0A0005" w:tentative="1">
      <w:start w:val="1"/>
      <w:numFmt w:val="bullet"/>
      <w:lvlText w:val=""/>
      <w:lvlJc w:val="left"/>
      <w:pPr>
        <w:tabs>
          <w:tab w:val="num" w:pos="6933"/>
        </w:tabs>
        <w:ind w:left="6933" w:hanging="360"/>
      </w:pPr>
      <w:rPr>
        <w:rFonts w:ascii="Wingdings" w:hAnsi="Wingdings" w:hint="default"/>
      </w:rPr>
    </w:lvl>
  </w:abstractNum>
  <w:num w:numId="1">
    <w:abstractNumId w:val="69"/>
  </w:num>
  <w:num w:numId="2">
    <w:abstractNumId w:val="70"/>
  </w:num>
  <w:num w:numId="3">
    <w:abstractNumId w:val="73"/>
  </w:num>
  <w:num w:numId="4">
    <w:abstractNumId w:val="0"/>
  </w:num>
  <w:num w:numId="5">
    <w:abstractNumId w:val="3"/>
  </w:num>
  <w:num w:numId="6">
    <w:abstractNumId w:val="34"/>
  </w:num>
  <w:num w:numId="7">
    <w:abstractNumId w:val="38"/>
  </w:num>
  <w:num w:numId="8">
    <w:abstractNumId w:val="6"/>
  </w:num>
  <w:num w:numId="9">
    <w:abstractNumId w:val="2"/>
  </w:num>
  <w:num w:numId="10">
    <w:abstractNumId w:val="1"/>
  </w:num>
  <w:num w:numId="11">
    <w:abstractNumId w:val="5"/>
  </w:num>
  <w:num w:numId="12">
    <w:abstractNumId w:val="4"/>
  </w:num>
  <w:num w:numId="13">
    <w:abstractNumId w:val="59"/>
  </w:num>
  <w:num w:numId="14">
    <w:abstractNumId w:val="55"/>
  </w:num>
  <w:num w:numId="15">
    <w:abstractNumId w:val="12"/>
  </w:num>
  <w:num w:numId="16">
    <w:abstractNumId w:val="17"/>
  </w:num>
  <w:num w:numId="17">
    <w:abstractNumId w:val="47"/>
  </w:num>
  <w:num w:numId="18">
    <w:abstractNumId w:val="10"/>
  </w:num>
  <w:num w:numId="19">
    <w:abstractNumId w:val="76"/>
  </w:num>
  <w:num w:numId="20">
    <w:abstractNumId w:val="68"/>
  </w:num>
  <w:num w:numId="21">
    <w:abstractNumId w:val="27"/>
  </w:num>
  <w:num w:numId="22">
    <w:abstractNumId w:val="63"/>
  </w:num>
  <w:num w:numId="23">
    <w:abstractNumId w:val="21"/>
  </w:num>
  <w:num w:numId="24">
    <w:abstractNumId w:val="32"/>
  </w:num>
  <w:num w:numId="25">
    <w:abstractNumId w:val="74"/>
  </w:num>
  <w:num w:numId="26">
    <w:abstractNumId w:val="25"/>
  </w:num>
  <w:num w:numId="27">
    <w:abstractNumId w:val="80"/>
  </w:num>
  <w:num w:numId="28">
    <w:abstractNumId w:val="30"/>
  </w:num>
  <w:num w:numId="29">
    <w:abstractNumId w:val="54"/>
  </w:num>
  <w:num w:numId="30">
    <w:abstractNumId w:val="7"/>
  </w:num>
  <w:num w:numId="31">
    <w:abstractNumId w:val="56"/>
  </w:num>
  <w:num w:numId="32">
    <w:abstractNumId w:val="77"/>
  </w:num>
  <w:num w:numId="33">
    <w:abstractNumId w:val="79"/>
  </w:num>
  <w:num w:numId="34">
    <w:abstractNumId w:val="64"/>
  </w:num>
  <w:num w:numId="35">
    <w:abstractNumId w:val="45"/>
  </w:num>
  <w:num w:numId="36">
    <w:abstractNumId w:val="44"/>
  </w:num>
  <w:num w:numId="37">
    <w:abstractNumId w:val="19"/>
  </w:num>
  <w:num w:numId="38">
    <w:abstractNumId w:val="53"/>
  </w:num>
  <w:num w:numId="39">
    <w:abstractNumId w:val="39"/>
  </w:num>
  <w:num w:numId="40">
    <w:abstractNumId w:val="16"/>
  </w:num>
  <w:num w:numId="41">
    <w:abstractNumId w:val="51"/>
  </w:num>
  <w:num w:numId="42">
    <w:abstractNumId w:val="58"/>
  </w:num>
  <w:num w:numId="43">
    <w:abstractNumId w:val="11"/>
  </w:num>
  <w:num w:numId="44">
    <w:abstractNumId w:val="81"/>
  </w:num>
  <w:num w:numId="45">
    <w:abstractNumId w:val="37"/>
  </w:num>
  <w:num w:numId="46">
    <w:abstractNumId w:val="61"/>
  </w:num>
  <w:num w:numId="47">
    <w:abstractNumId w:val="9"/>
  </w:num>
  <w:num w:numId="48">
    <w:abstractNumId w:val="67"/>
  </w:num>
  <w:num w:numId="49">
    <w:abstractNumId w:val="18"/>
  </w:num>
  <w:num w:numId="50">
    <w:abstractNumId w:val="35"/>
  </w:num>
  <w:num w:numId="51">
    <w:abstractNumId w:val="33"/>
  </w:num>
  <w:num w:numId="52">
    <w:abstractNumId w:val="75"/>
  </w:num>
  <w:num w:numId="53">
    <w:abstractNumId w:val="46"/>
  </w:num>
  <w:num w:numId="54">
    <w:abstractNumId w:val="78"/>
  </w:num>
  <w:num w:numId="55">
    <w:abstractNumId w:val="36"/>
  </w:num>
  <w:num w:numId="56">
    <w:abstractNumId w:val="52"/>
  </w:num>
  <w:num w:numId="57">
    <w:abstractNumId w:val="66"/>
  </w:num>
  <w:num w:numId="58">
    <w:abstractNumId w:val="60"/>
  </w:num>
  <w:num w:numId="59">
    <w:abstractNumId w:val="29"/>
  </w:num>
  <w:num w:numId="60">
    <w:abstractNumId w:val="23"/>
  </w:num>
  <w:num w:numId="61">
    <w:abstractNumId w:val="57"/>
  </w:num>
  <w:num w:numId="62">
    <w:abstractNumId w:val="22"/>
  </w:num>
  <w:num w:numId="63">
    <w:abstractNumId w:val="71"/>
  </w:num>
  <w:num w:numId="64">
    <w:abstractNumId w:val="13"/>
  </w:num>
  <w:num w:numId="65">
    <w:abstractNumId w:val="49"/>
  </w:num>
  <w:num w:numId="66">
    <w:abstractNumId w:val="40"/>
  </w:num>
  <w:num w:numId="67">
    <w:abstractNumId w:val="48"/>
  </w:num>
  <w:num w:numId="68">
    <w:abstractNumId w:val="50"/>
  </w:num>
  <w:num w:numId="69">
    <w:abstractNumId w:val="42"/>
  </w:num>
  <w:num w:numId="70">
    <w:abstractNumId w:val="31"/>
  </w:num>
  <w:num w:numId="71">
    <w:abstractNumId w:val="15"/>
  </w:num>
  <w:num w:numId="72">
    <w:abstractNumId w:val="26"/>
  </w:num>
  <w:num w:numId="73">
    <w:abstractNumId w:val="27"/>
  </w:num>
  <w:num w:numId="74">
    <w:abstractNumId w:val="72"/>
  </w:num>
  <w:num w:numId="75">
    <w:abstractNumId w:val="27"/>
  </w:num>
  <w:num w:numId="76">
    <w:abstractNumId w:val="27"/>
  </w:num>
  <w:num w:numId="77">
    <w:abstractNumId w:val="14"/>
  </w:num>
  <w:num w:numId="78">
    <w:abstractNumId w:val="34"/>
  </w:num>
  <w:num w:numId="79">
    <w:abstractNumId w:val="24"/>
  </w:num>
  <w:num w:numId="80">
    <w:abstractNumId w:val="41"/>
  </w:num>
  <w:num w:numId="81">
    <w:abstractNumId w:val="65"/>
  </w:num>
  <w:num w:numId="82">
    <w:abstractNumId w:val="20"/>
  </w:num>
  <w:num w:numId="83">
    <w:abstractNumId w:val="43"/>
  </w:num>
  <w:num w:numId="84">
    <w:abstractNumId w:val="28"/>
  </w:num>
  <w:num w:numId="85">
    <w:abstractNumId w:val="62"/>
  </w:num>
  <w:num w:numId="86">
    <w:abstractNumId w:va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GB" w:vendorID="8" w:dllVersion="513" w:checkStyle="1"/>
  <w:activeWritingStyle w:appName="MSWord" w:lang="es-ES" w:vendorID="9" w:dllVersion="512" w:checkStyle="1"/>
  <w:activeWritingStyle w:appName="MSWord" w:lang="es-ES_tradnl" w:vendorID="9" w:dllVersion="512" w:checkStyle="1"/>
  <w:activeWritingStyle w:appName="MSWord" w:lang="en-US" w:vendorID="8" w:dllVersion="513" w:checkStyle="1"/>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o:colormru v:ext="edit" colors="#ddd,#ffc"/>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E24"/>
    <w:rsid w:val="0000038A"/>
    <w:rsid w:val="00007C4B"/>
    <w:rsid w:val="00007D94"/>
    <w:rsid w:val="00012EC6"/>
    <w:rsid w:val="00015A6A"/>
    <w:rsid w:val="000274C6"/>
    <w:rsid w:val="00027C0E"/>
    <w:rsid w:val="0003527F"/>
    <w:rsid w:val="00035C19"/>
    <w:rsid w:val="00037CBE"/>
    <w:rsid w:val="00043D08"/>
    <w:rsid w:val="00064109"/>
    <w:rsid w:val="00092387"/>
    <w:rsid w:val="00094486"/>
    <w:rsid w:val="000A06FE"/>
    <w:rsid w:val="000A447D"/>
    <w:rsid w:val="000B0E24"/>
    <w:rsid w:val="000B10F6"/>
    <w:rsid w:val="000C7EEA"/>
    <w:rsid w:val="000D0631"/>
    <w:rsid w:val="000D1743"/>
    <w:rsid w:val="000D1BB9"/>
    <w:rsid w:val="000D47CE"/>
    <w:rsid w:val="000E0F7C"/>
    <w:rsid w:val="000E24B9"/>
    <w:rsid w:val="000E6E31"/>
    <w:rsid w:val="000F291F"/>
    <w:rsid w:val="000F2BAC"/>
    <w:rsid w:val="000F3853"/>
    <w:rsid w:val="001102AA"/>
    <w:rsid w:val="001121AA"/>
    <w:rsid w:val="00112F51"/>
    <w:rsid w:val="001139D3"/>
    <w:rsid w:val="00115AB9"/>
    <w:rsid w:val="00124B9E"/>
    <w:rsid w:val="001252B5"/>
    <w:rsid w:val="00131EEF"/>
    <w:rsid w:val="00135C19"/>
    <w:rsid w:val="001451D8"/>
    <w:rsid w:val="001535B0"/>
    <w:rsid w:val="00156212"/>
    <w:rsid w:val="001602A7"/>
    <w:rsid w:val="001613E8"/>
    <w:rsid w:val="001642DC"/>
    <w:rsid w:val="001725F5"/>
    <w:rsid w:val="001821C5"/>
    <w:rsid w:val="001846AA"/>
    <w:rsid w:val="00185C66"/>
    <w:rsid w:val="001A527D"/>
    <w:rsid w:val="001A69CD"/>
    <w:rsid w:val="001A6C17"/>
    <w:rsid w:val="001B335E"/>
    <w:rsid w:val="001B5B59"/>
    <w:rsid w:val="001D336E"/>
    <w:rsid w:val="001D7B95"/>
    <w:rsid w:val="001E3392"/>
    <w:rsid w:val="001E5394"/>
    <w:rsid w:val="001F1653"/>
    <w:rsid w:val="0020308B"/>
    <w:rsid w:val="002059DC"/>
    <w:rsid w:val="0020682D"/>
    <w:rsid w:val="002133B2"/>
    <w:rsid w:val="00216DAF"/>
    <w:rsid w:val="00217927"/>
    <w:rsid w:val="002206E5"/>
    <w:rsid w:val="00221228"/>
    <w:rsid w:val="00234303"/>
    <w:rsid w:val="002351E1"/>
    <w:rsid w:val="0024065D"/>
    <w:rsid w:val="00244620"/>
    <w:rsid w:val="002469C0"/>
    <w:rsid w:val="00246DA4"/>
    <w:rsid w:val="00250C92"/>
    <w:rsid w:val="00272B3D"/>
    <w:rsid w:val="002815EF"/>
    <w:rsid w:val="00283121"/>
    <w:rsid w:val="002831DA"/>
    <w:rsid w:val="0029290F"/>
    <w:rsid w:val="002A2EA8"/>
    <w:rsid w:val="002A3323"/>
    <w:rsid w:val="002A7C1F"/>
    <w:rsid w:val="002B0A89"/>
    <w:rsid w:val="002B5A34"/>
    <w:rsid w:val="002B7070"/>
    <w:rsid w:val="002C5AE8"/>
    <w:rsid w:val="002C722B"/>
    <w:rsid w:val="002D3BBC"/>
    <w:rsid w:val="002D7540"/>
    <w:rsid w:val="002E448A"/>
    <w:rsid w:val="002E632D"/>
    <w:rsid w:val="002E6C19"/>
    <w:rsid w:val="002F7496"/>
    <w:rsid w:val="002F7DC0"/>
    <w:rsid w:val="00302782"/>
    <w:rsid w:val="003055FB"/>
    <w:rsid w:val="00311162"/>
    <w:rsid w:val="00313520"/>
    <w:rsid w:val="00317ECF"/>
    <w:rsid w:val="003203F5"/>
    <w:rsid w:val="00327B25"/>
    <w:rsid w:val="00335303"/>
    <w:rsid w:val="00350EC2"/>
    <w:rsid w:val="0035115D"/>
    <w:rsid w:val="00351EE1"/>
    <w:rsid w:val="00355416"/>
    <w:rsid w:val="00366749"/>
    <w:rsid w:val="00371740"/>
    <w:rsid w:val="00381430"/>
    <w:rsid w:val="003818CB"/>
    <w:rsid w:val="00392F8A"/>
    <w:rsid w:val="00393652"/>
    <w:rsid w:val="003A77DF"/>
    <w:rsid w:val="003C0DF1"/>
    <w:rsid w:val="003C328A"/>
    <w:rsid w:val="003D013F"/>
    <w:rsid w:val="003D03AA"/>
    <w:rsid w:val="003D03BA"/>
    <w:rsid w:val="003D0D75"/>
    <w:rsid w:val="003E5134"/>
    <w:rsid w:val="003E5C46"/>
    <w:rsid w:val="003F22D3"/>
    <w:rsid w:val="003F2D8C"/>
    <w:rsid w:val="003F6048"/>
    <w:rsid w:val="00423DAF"/>
    <w:rsid w:val="004374E1"/>
    <w:rsid w:val="00442157"/>
    <w:rsid w:val="00447266"/>
    <w:rsid w:val="0045503F"/>
    <w:rsid w:val="00456665"/>
    <w:rsid w:val="00465872"/>
    <w:rsid w:val="004674CE"/>
    <w:rsid w:val="00477D39"/>
    <w:rsid w:val="00480802"/>
    <w:rsid w:val="00480D6B"/>
    <w:rsid w:val="0048134C"/>
    <w:rsid w:val="004861FE"/>
    <w:rsid w:val="00490BCD"/>
    <w:rsid w:val="004A077E"/>
    <w:rsid w:val="004A1852"/>
    <w:rsid w:val="004A2904"/>
    <w:rsid w:val="004B3A2D"/>
    <w:rsid w:val="004B4DF6"/>
    <w:rsid w:val="004C0051"/>
    <w:rsid w:val="004D5E53"/>
    <w:rsid w:val="004E3654"/>
    <w:rsid w:val="004E365D"/>
    <w:rsid w:val="004E4B77"/>
    <w:rsid w:val="004F126F"/>
    <w:rsid w:val="004F3858"/>
    <w:rsid w:val="004F602D"/>
    <w:rsid w:val="0050188E"/>
    <w:rsid w:val="00516F2C"/>
    <w:rsid w:val="00516F7E"/>
    <w:rsid w:val="005210E1"/>
    <w:rsid w:val="00524C4B"/>
    <w:rsid w:val="00531EB6"/>
    <w:rsid w:val="00533C22"/>
    <w:rsid w:val="0054126E"/>
    <w:rsid w:val="00546484"/>
    <w:rsid w:val="005523D0"/>
    <w:rsid w:val="00562A1F"/>
    <w:rsid w:val="005630A8"/>
    <w:rsid w:val="005672E2"/>
    <w:rsid w:val="00591B88"/>
    <w:rsid w:val="0059748B"/>
    <w:rsid w:val="005A572B"/>
    <w:rsid w:val="005A57E9"/>
    <w:rsid w:val="005A7BF5"/>
    <w:rsid w:val="005B4AD7"/>
    <w:rsid w:val="005C261E"/>
    <w:rsid w:val="005C7327"/>
    <w:rsid w:val="005D190F"/>
    <w:rsid w:val="005D6F3A"/>
    <w:rsid w:val="005E411E"/>
    <w:rsid w:val="005E4DC8"/>
    <w:rsid w:val="005E4E09"/>
    <w:rsid w:val="00602F09"/>
    <w:rsid w:val="006048E7"/>
    <w:rsid w:val="0061028B"/>
    <w:rsid w:val="006105D0"/>
    <w:rsid w:val="00611063"/>
    <w:rsid w:val="00611367"/>
    <w:rsid w:val="00621BAD"/>
    <w:rsid w:val="00626E78"/>
    <w:rsid w:val="0064505E"/>
    <w:rsid w:val="00645262"/>
    <w:rsid w:val="00654FEE"/>
    <w:rsid w:val="00655AAD"/>
    <w:rsid w:val="006611E1"/>
    <w:rsid w:val="006628E8"/>
    <w:rsid w:val="006657B0"/>
    <w:rsid w:val="0066772C"/>
    <w:rsid w:val="00671955"/>
    <w:rsid w:val="00675E9B"/>
    <w:rsid w:val="00677F78"/>
    <w:rsid w:val="00680BB5"/>
    <w:rsid w:val="006A1A3F"/>
    <w:rsid w:val="006B5003"/>
    <w:rsid w:val="006B5381"/>
    <w:rsid w:val="006B69C3"/>
    <w:rsid w:val="006B72FF"/>
    <w:rsid w:val="006C0DCE"/>
    <w:rsid w:val="006C256D"/>
    <w:rsid w:val="006D0164"/>
    <w:rsid w:val="006F3E19"/>
    <w:rsid w:val="00706891"/>
    <w:rsid w:val="00710B32"/>
    <w:rsid w:val="00711F6C"/>
    <w:rsid w:val="00713135"/>
    <w:rsid w:val="0071318C"/>
    <w:rsid w:val="007257E9"/>
    <w:rsid w:val="007473C9"/>
    <w:rsid w:val="007509BC"/>
    <w:rsid w:val="00781B62"/>
    <w:rsid w:val="00783E6F"/>
    <w:rsid w:val="007A2916"/>
    <w:rsid w:val="007A3BA5"/>
    <w:rsid w:val="007A41C7"/>
    <w:rsid w:val="007A51C8"/>
    <w:rsid w:val="007B1AA4"/>
    <w:rsid w:val="007B1D09"/>
    <w:rsid w:val="007B2058"/>
    <w:rsid w:val="007B6A01"/>
    <w:rsid w:val="007C2C19"/>
    <w:rsid w:val="007D30BE"/>
    <w:rsid w:val="007D5796"/>
    <w:rsid w:val="007E1F93"/>
    <w:rsid w:val="007F0CF3"/>
    <w:rsid w:val="0081087D"/>
    <w:rsid w:val="00815682"/>
    <w:rsid w:val="00816DF3"/>
    <w:rsid w:val="00820D92"/>
    <w:rsid w:val="0083436D"/>
    <w:rsid w:val="00841B69"/>
    <w:rsid w:val="00844DCB"/>
    <w:rsid w:val="0084562C"/>
    <w:rsid w:val="00845B59"/>
    <w:rsid w:val="00851CB6"/>
    <w:rsid w:val="00853EEC"/>
    <w:rsid w:val="00860251"/>
    <w:rsid w:val="008618AB"/>
    <w:rsid w:val="00864A1A"/>
    <w:rsid w:val="00865C61"/>
    <w:rsid w:val="00892C0D"/>
    <w:rsid w:val="008A0994"/>
    <w:rsid w:val="008A49DD"/>
    <w:rsid w:val="008B0636"/>
    <w:rsid w:val="008C00B1"/>
    <w:rsid w:val="008C18CD"/>
    <w:rsid w:val="008C3B4D"/>
    <w:rsid w:val="008C5133"/>
    <w:rsid w:val="008D0FC2"/>
    <w:rsid w:val="008D3322"/>
    <w:rsid w:val="008D52ED"/>
    <w:rsid w:val="008E4836"/>
    <w:rsid w:val="009017BD"/>
    <w:rsid w:val="0090526D"/>
    <w:rsid w:val="00911A8A"/>
    <w:rsid w:val="00920003"/>
    <w:rsid w:val="00923CCF"/>
    <w:rsid w:val="00925D2F"/>
    <w:rsid w:val="00926296"/>
    <w:rsid w:val="00926AD4"/>
    <w:rsid w:val="009370FA"/>
    <w:rsid w:val="00947425"/>
    <w:rsid w:val="009543E6"/>
    <w:rsid w:val="00955511"/>
    <w:rsid w:val="00961520"/>
    <w:rsid w:val="0097075A"/>
    <w:rsid w:val="00981B57"/>
    <w:rsid w:val="00985D68"/>
    <w:rsid w:val="0099420F"/>
    <w:rsid w:val="00994E84"/>
    <w:rsid w:val="009970AC"/>
    <w:rsid w:val="00997FDA"/>
    <w:rsid w:val="009A787F"/>
    <w:rsid w:val="009B3FC4"/>
    <w:rsid w:val="009B5B31"/>
    <w:rsid w:val="009B6B43"/>
    <w:rsid w:val="009C1BC9"/>
    <w:rsid w:val="009C5618"/>
    <w:rsid w:val="009D173A"/>
    <w:rsid w:val="009D4EF0"/>
    <w:rsid w:val="009D5187"/>
    <w:rsid w:val="009D686F"/>
    <w:rsid w:val="009E5E53"/>
    <w:rsid w:val="009F0A17"/>
    <w:rsid w:val="009F7590"/>
    <w:rsid w:val="00A00A26"/>
    <w:rsid w:val="00A01BB6"/>
    <w:rsid w:val="00A20C7B"/>
    <w:rsid w:val="00A30837"/>
    <w:rsid w:val="00A312F2"/>
    <w:rsid w:val="00A41886"/>
    <w:rsid w:val="00A41A47"/>
    <w:rsid w:val="00A41AD4"/>
    <w:rsid w:val="00A43C77"/>
    <w:rsid w:val="00A45B24"/>
    <w:rsid w:val="00A504E0"/>
    <w:rsid w:val="00A51433"/>
    <w:rsid w:val="00A53F00"/>
    <w:rsid w:val="00A55089"/>
    <w:rsid w:val="00A63429"/>
    <w:rsid w:val="00A72378"/>
    <w:rsid w:val="00A855CD"/>
    <w:rsid w:val="00A875D6"/>
    <w:rsid w:val="00AA306A"/>
    <w:rsid w:val="00AA6FE8"/>
    <w:rsid w:val="00AB046C"/>
    <w:rsid w:val="00AB7EAC"/>
    <w:rsid w:val="00AD0168"/>
    <w:rsid w:val="00AD0F73"/>
    <w:rsid w:val="00AD5C0C"/>
    <w:rsid w:val="00AE3CDB"/>
    <w:rsid w:val="00AE7BBC"/>
    <w:rsid w:val="00AF32C8"/>
    <w:rsid w:val="00B067DC"/>
    <w:rsid w:val="00B21F41"/>
    <w:rsid w:val="00B2617C"/>
    <w:rsid w:val="00B341EA"/>
    <w:rsid w:val="00B37A78"/>
    <w:rsid w:val="00B45E19"/>
    <w:rsid w:val="00B47160"/>
    <w:rsid w:val="00B52A5C"/>
    <w:rsid w:val="00B61C77"/>
    <w:rsid w:val="00B61DF3"/>
    <w:rsid w:val="00B634D5"/>
    <w:rsid w:val="00B72061"/>
    <w:rsid w:val="00B74E5B"/>
    <w:rsid w:val="00B849C7"/>
    <w:rsid w:val="00B8522D"/>
    <w:rsid w:val="00B86B06"/>
    <w:rsid w:val="00B906ED"/>
    <w:rsid w:val="00BA15F8"/>
    <w:rsid w:val="00BA348E"/>
    <w:rsid w:val="00BA7E2E"/>
    <w:rsid w:val="00BB26F2"/>
    <w:rsid w:val="00BB42DB"/>
    <w:rsid w:val="00BB5186"/>
    <w:rsid w:val="00BB6CE3"/>
    <w:rsid w:val="00BC0BE5"/>
    <w:rsid w:val="00BC72D5"/>
    <w:rsid w:val="00BD0FF0"/>
    <w:rsid w:val="00BD139D"/>
    <w:rsid w:val="00BD1B9E"/>
    <w:rsid w:val="00BD1EFD"/>
    <w:rsid w:val="00BD753B"/>
    <w:rsid w:val="00BE262E"/>
    <w:rsid w:val="00BF044F"/>
    <w:rsid w:val="00BF0CCA"/>
    <w:rsid w:val="00C03E28"/>
    <w:rsid w:val="00C06573"/>
    <w:rsid w:val="00C11E0B"/>
    <w:rsid w:val="00C14FBC"/>
    <w:rsid w:val="00C31B0C"/>
    <w:rsid w:val="00C334D5"/>
    <w:rsid w:val="00C507B9"/>
    <w:rsid w:val="00C5446B"/>
    <w:rsid w:val="00C554CF"/>
    <w:rsid w:val="00C675CF"/>
    <w:rsid w:val="00C71454"/>
    <w:rsid w:val="00C72803"/>
    <w:rsid w:val="00C740AE"/>
    <w:rsid w:val="00C818DC"/>
    <w:rsid w:val="00C877ED"/>
    <w:rsid w:val="00C90F0C"/>
    <w:rsid w:val="00C91043"/>
    <w:rsid w:val="00C91B8E"/>
    <w:rsid w:val="00C96595"/>
    <w:rsid w:val="00CA2FDD"/>
    <w:rsid w:val="00CA33C3"/>
    <w:rsid w:val="00CA4EDA"/>
    <w:rsid w:val="00CA7C02"/>
    <w:rsid w:val="00CC3F31"/>
    <w:rsid w:val="00CE5584"/>
    <w:rsid w:val="00CE709B"/>
    <w:rsid w:val="00CF071D"/>
    <w:rsid w:val="00CF42C5"/>
    <w:rsid w:val="00D0364F"/>
    <w:rsid w:val="00D116B8"/>
    <w:rsid w:val="00D21165"/>
    <w:rsid w:val="00D256AE"/>
    <w:rsid w:val="00D25F69"/>
    <w:rsid w:val="00D268C1"/>
    <w:rsid w:val="00D26D5B"/>
    <w:rsid w:val="00D277AD"/>
    <w:rsid w:val="00D3609F"/>
    <w:rsid w:val="00D36498"/>
    <w:rsid w:val="00D36A25"/>
    <w:rsid w:val="00D37CE8"/>
    <w:rsid w:val="00D41A33"/>
    <w:rsid w:val="00D42971"/>
    <w:rsid w:val="00D42A13"/>
    <w:rsid w:val="00D444F2"/>
    <w:rsid w:val="00D50684"/>
    <w:rsid w:val="00D56427"/>
    <w:rsid w:val="00D67BA9"/>
    <w:rsid w:val="00D67F98"/>
    <w:rsid w:val="00DB0ABB"/>
    <w:rsid w:val="00DC2A55"/>
    <w:rsid w:val="00DC5E6C"/>
    <w:rsid w:val="00DD30B6"/>
    <w:rsid w:val="00DD4559"/>
    <w:rsid w:val="00DD7B63"/>
    <w:rsid w:val="00DE1872"/>
    <w:rsid w:val="00DE31D2"/>
    <w:rsid w:val="00DF4F73"/>
    <w:rsid w:val="00DF6726"/>
    <w:rsid w:val="00E02C27"/>
    <w:rsid w:val="00E04F2D"/>
    <w:rsid w:val="00E10817"/>
    <w:rsid w:val="00E12005"/>
    <w:rsid w:val="00E2201C"/>
    <w:rsid w:val="00E2588F"/>
    <w:rsid w:val="00E33095"/>
    <w:rsid w:val="00E3502F"/>
    <w:rsid w:val="00E36AB7"/>
    <w:rsid w:val="00E425CA"/>
    <w:rsid w:val="00E5075D"/>
    <w:rsid w:val="00E50BC5"/>
    <w:rsid w:val="00E530AD"/>
    <w:rsid w:val="00E53E00"/>
    <w:rsid w:val="00E54558"/>
    <w:rsid w:val="00E5554F"/>
    <w:rsid w:val="00E76E1D"/>
    <w:rsid w:val="00E836BE"/>
    <w:rsid w:val="00E84290"/>
    <w:rsid w:val="00E92C3E"/>
    <w:rsid w:val="00E93835"/>
    <w:rsid w:val="00EA04AA"/>
    <w:rsid w:val="00EB054A"/>
    <w:rsid w:val="00EB27BE"/>
    <w:rsid w:val="00EB4A52"/>
    <w:rsid w:val="00ED5F46"/>
    <w:rsid w:val="00EE07A9"/>
    <w:rsid w:val="00EE798B"/>
    <w:rsid w:val="00EF4BE3"/>
    <w:rsid w:val="00F011C8"/>
    <w:rsid w:val="00F05A9E"/>
    <w:rsid w:val="00F123F2"/>
    <w:rsid w:val="00F177AF"/>
    <w:rsid w:val="00F17C3B"/>
    <w:rsid w:val="00F2388D"/>
    <w:rsid w:val="00F24205"/>
    <w:rsid w:val="00F27767"/>
    <w:rsid w:val="00F32B45"/>
    <w:rsid w:val="00F36730"/>
    <w:rsid w:val="00F408AF"/>
    <w:rsid w:val="00F4384B"/>
    <w:rsid w:val="00F52FC4"/>
    <w:rsid w:val="00F576B2"/>
    <w:rsid w:val="00F57FE2"/>
    <w:rsid w:val="00F70E2B"/>
    <w:rsid w:val="00F724F4"/>
    <w:rsid w:val="00F73689"/>
    <w:rsid w:val="00F748C8"/>
    <w:rsid w:val="00F74AAB"/>
    <w:rsid w:val="00F8155B"/>
    <w:rsid w:val="00F85DA8"/>
    <w:rsid w:val="00F863DC"/>
    <w:rsid w:val="00F91A96"/>
    <w:rsid w:val="00F93BCA"/>
    <w:rsid w:val="00F95B74"/>
    <w:rsid w:val="00FA072E"/>
    <w:rsid w:val="00FA1237"/>
    <w:rsid w:val="00FA13CC"/>
    <w:rsid w:val="00FB34FD"/>
    <w:rsid w:val="00FB4F6C"/>
    <w:rsid w:val="00FB7E02"/>
    <w:rsid w:val="00FC6387"/>
    <w:rsid w:val="00FD1233"/>
    <w:rsid w:val="00FD22AD"/>
    <w:rsid w:val="00FD2F29"/>
    <w:rsid w:val="00FD54A5"/>
    <w:rsid w:val="00FE02D1"/>
    <w:rsid w:val="00FE2416"/>
    <w:rsid w:val="00FE3387"/>
    <w:rsid w:val="00FF2DF2"/>
    <w:rsid w:val="00FF425F"/>
    <w:rsid w:val="00FF7E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6145" fill="f" fillcolor="white" stroke="f">
      <v:fill color="white" on="f"/>
      <v:stroke on="f"/>
      <o:colormru v:ext="edit" colors="#ddd,#f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873"/>
      <w:jc w:val="both"/>
    </w:pPr>
    <w:rPr>
      <w:rFonts w:ascii="Garamond" w:hAnsi="Garamond"/>
      <w:sz w:val="22"/>
    </w:rPr>
  </w:style>
  <w:style w:type="paragraph" w:styleId="Ttulo1">
    <w:name w:val="heading 1"/>
    <w:aliases w:val="Portadilla,Heading 0,H1,h1,L1,Heading 01,Level 1 Topic Heading,Header 1,ITT t1,PA Chapter,TE,Livello 1,Heading A,hoofdstuk 1,H1-Heading 1,Legal Line 1,head 1,II+,I,Heading1,a,1st level,l1,textst level,Heading No. L1,list 1,heading 1,H11,H12,H13"/>
    <w:basedOn w:val="Normal"/>
    <w:next w:val="Normal"/>
    <w:qFormat/>
    <w:pPr>
      <w:numPr>
        <w:numId w:val="21"/>
      </w:numPr>
      <w:shd w:val="clear" w:color="auto" w:fill="3366FF"/>
      <w:spacing w:before="240"/>
      <w:jc w:val="left"/>
      <w:outlineLvl w:val="0"/>
    </w:pPr>
    <w:rPr>
      <w:rFonts w:ascii="TheSansCorrespondence" w:hAnsi="TheSansCorrespondence"/>
      <w:b/>
      <w:caps/>
      <w:snapToGrid w:val="0"/>
      <w:color w:val="FFFFFF"/>
      <w:sz w:val="28"/>
      <w:szCs w:val="28"/>
      <w:lang w:val="es-ES_tradnl"/>
    </w:rPr>
  </w:style>
  <w:style w:type="paragraph" w:styleId="Ttulo2">
    <w:name w:val="heading 2"/>
    <w:aliases w:val="Portadilla 2,h2,L2,H2,2,h21,21,titulo2,Level 2 Topic Heading,DO NOT USE_h2,chn,Chapter Number/Appendix Letter,H21,H22,Header 2,CHS,H2-Heading 2,l2,Header2,22,heading2,list2,A,A.B.C.,list 2,Heading2,Heading Indent No L2,Heading 2 Hidden,o"/>
    <w:basedOn w:val="Normal"/>
    <w:next w:val="Normal"/>
    <w:qFormat/>
    <w:pPr>
      <w:numPr>
        <w:ilvl w:val="1"/>
        <w:numId w:val="21"/>
      </w:numPr>
      <w:shd w:val="clear" w:color="auto" w:fill="00FF00"/>
      <w:tabs>
        <w:tab w:val="left" w:pos="873"/>
      </w:tabs>
      <w:outlineLvl w:val="1"/>
    </w:pPr>
    <w:rPr>
      <w:rFonts w:ascii="TheSansCorrespondence" w:hAnsi="TheSansCorrespondence"/>
      <w:b/>
      <w:snapToGrid w:val="0"/>
      <w:sz w:val="24"/>
      <w:szCs w:val="24"/>
      <w:lang w:val="es-ES_tradnl"/>
    </w:rPr>
  </w:style>
  <w:style w:type="paragraph" w:styleId="Ttulo3">
    <w:name w:val="heading 3"/>
    <w:aliases w:val="Portadilla 3,L3,h3,Level 3 Topic Heading,H31,H32,3,Bold Head,bh,H3-Heading 3,l3.3,l3,Titre 3,Map,HeadC,H3,CT,Heading3,list 3,list3,subhead,1.,Heading No. L3,heading 3,ITT t3,PA Minor Section,l31,CT1,l32,nms SubSect1,h31,h32,h311,h33,h34,h35"/>
    <w:basedOn w:val="Normal"/>
    <w:next w:val="Normal"/>
    <w:qFormat/>
    <w:pPr>
      <w:numPr>
        <w:ilvl w:val="2"/>
        <w:numId w:val="21"/>
      </w:numPr>
      <w:tabs>
        <w:tab w:val="clear" w:pos="720"/>
        <w:tab w:val="num" w:pos="228"/>
      </w:tabs>
      <w:ind w:left="228"/>
      <w:outlineLvl w:val="2"/>
    </w:pPr>
    <w:rPr>
      <w:b/>
      <w:i/>
      <w:lang w:val="es-ES_tradnl"/>
    </w:rPr>
  </w:style>
  <w:style w:type="paragraph" w:styleId="Ttulo4">
    <w:name w:val="heading 4"/>
    <w:aliases w:val="Título INDICE,h4,First Subheading,4,H4"/>
    <w:basedOn w:val="Normal"/>
    <w:next w:val="Normal"/>
    <w:qFormat/>
    <w:pPr>
      <w:keepNext/>
      <w:numPr>
        <w:ilvl w:val="3"/>
        <w:numId w:val="21"/>
      </w:numPr>
      <w:spacing w:line="240" w:lineRule="atLeast"/>
      <w:outlineLvl w:val="3"/>
    </w:pPr>
    <w:rPr>
      <w:snapToGrid w:val="0"/>
    </w:rPr>
  </w:style>
  <w:style w:type="paragraph" w:styleId="Ttulo5">
    <w:name w:val="heading 5"/>
    <w:aliases w:val="1,h5,Second Subheading,H5,5"/>
    <w:basedOn w:val="Normal"/>
    <w:next w:val="Normal"/>
    <w:qFormat/>
    <w:pPr>
      <w:numPr>
        <w:ilvl w:val="4"/>
        <w:numId w:val="21"/>
      </w:numPr>
      <w:outlineLvl w:val="4"/>
    </w:pPr>
    <w:rPr>
      <w:i/>
      <w:lang w:val="es-ES_tradnl"/>
    </w:rPr>
  </w:style>
  <w:style w:type="paragraph" w:styleId="Ttulo6">
    <w:name w:val="heading 6"/>
    <w:basedOn w:val="Normal"/>
    <w:next w:val="Normal"/>
    <w:qFormat/>
    <w:pPr>
      <w:numPr>
        <w:ilvl w:val="5"/>
        <w:numId w:val="21"/>
      </w:numPr>
      <w:spacing w:before="240" w:after="60"/>
      <w:outlineLvl w:val="5"/>
    </w:pPr>
    <w:rPr>
      <w:rFonts w:ascii="Arial" w:hAnsi="Arial"/>
      <w:i/>
      <w:lang w:val="es-ES_tradnl"/>
    </w:rPr>
  </w:style>
  <w:style w:type="paragraph" w:styleId="Ttulo7">
    <w:name w:val="heading 7"/>
    <w:basedOn w:val="Normal"/>
    <w:next w:val="Normal"/>
    <w:qFormat/>
    <w:pPr>
      <w:numPr>
        <w:ilvl w:val="6"/>
        <w:numId w:val="21"/>
      </w:numPr>
      <w:spacing w:before="240" w:after="60"/>
      <w:outlineLvl w:val="6"/>
    </w:pPr>
    <w:rPr>
      <w:rFonts w:ascii="Arial" w:hAnsi="Arial"/>
      <w:lang w:val="es-ES_tradnl"/>
    </w:rPr>
  </w:style>
  <w:style w:type="paragraph" w:styleId="Ttulo8">
    <w:name w:val="heading 8"/>
    <w:basedOn w:val="Normal"/>
    <w:next w:val="Normal"/>
    <w:qFormat/>
    <w:pPr>
      <w:numPr>
        <w:ilvl w:val="7"/>
        <w:numId w:val="21"/>
      </w:numPr>
      <w:spacing w:before="240" w:after="60"/>
      <w:outlineLvl w:val="7"/>
    </w:pPr>
    <w:rPr>
      <w:rFonts w:ascii="Arial" w:hAnsi="Arial"/>
      <w:i/>
      <w:lang w:val="es-ES_tradnl"/>
    </w:rPr>
  </w:style>
  <w:style w:type="paragraph" w:styleId="Ttulo9">
    <w:name w:val="heading 9"/>
    <w:basedOn w:val="Normal"/>
    <w:next w:val="Normal"/>
    <w:qFormat/>
    <w:pPr>
      <w:numPr>
        <w:ilvl w:val="8"/>
        <w:numId w:val="21"/>
      </w:numPr>
      <w:spacing w:before="240" w:after="60"/>
      <w:outlineLvl w:val="8"/>
    </w:pPr>
    <w:rPr>
      <w:rFonts w:ascii="Arial" w:hAnsi="Arial"/>
      <w:i/>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ITT i"/>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aliases w:val="AvtalBrödtext,Bodytext,ändrad,Body3, ändrad,AvtalBrodtext,andrad,Requirements,EHPT,Body Text2,à¹×éÍàÃ×èÍ§,Body Text ,Body Text level 1,Response,paragraph 2,body indent,compact,bt,- TF,Block text,body text,sp,sbs,block text,bt4,bt5"/>
    <w:basedOn w:val="Normal"/>
    <w:rPr>
      <w:sz w:val="24"/>
      <w:lang w:val="es-ES_tradnl"/>
    </w:rPr>
  </w:style>
  <w:style w:type="character" w:styleId="Nmerodepgina">
    <w:name w:val="page number"/>
    <w:basedOn w:val="Fuentedeprrafopredeter"/>
  </w:style>
  <w:style w:type="paragraph" w:styleId="TDC1">
    <w:name w:val="toc 1"/>
    <w:basedOn w:val="Normal"/>
    <w:next w:val="Normal"/>
    <w:autoRedefine/>
    <w:uiPriority w:val="39"/>
    <w:pPr>
      <w:tabs>
        <w:tab w:val="left" w:pos="403"/>
        <w:tab w:val="right" w:leader="dot" w:pos="10206"/>
      </w:tabs>
      <w:spacing w:after="120"/>
      <w:ind w:left="0"/>
    </w:pPr>
    <w:rPr>
      <w:b/>
      <w:i/>
      <w:caps/>
      <w:noProof/>
    </w:rPr>
  </w:style>
  <w:style w:type="paragraph" w:styleId="TDC2">
    <w:name w:val="toc 2"/>
    <w:basedOn w:val="Normal"/>
    <w:next w:val="Normal"/>
    <w:autoRedefine/>
    <w:uiPriority w:val="39"/>
    <w:pPr>
      <w:tabs>
        <w:tab w:val="left" w:pos="660"/>
        <w:tab w:val="left" w:pos="880"/>
        <w:tab w:val="right" w:leader="dot" w:pos="10206"/>
      </w:tabs>
      <w:ind w:left="198"/>
    </w:pPr>
    <w:rPr>
      <w:smallCaps/>
      <w:noProof/>
    </w:rPr>
  </w:style>
  <w:style w:type="paragraph" w:styleId="TDC3">
    <w:name w:val="toc 3"/>
    <w:basedOn w:val="Normal"/>
    <w:next w:val="Normal"/>
    <w:autoRedefine/>
    <w:uiPriority w:val="39"/>
    <w:pPr>
      <w:tabs>
        <w:tab w:val="left" w:pos="1100"/>
        <w:tab w:val="right" w:leader="dot" w:pos="10206"/>
      </w:tabs>
      <w:ind w:left="403"/>
    </w:pPr>
    <w:rPr>
      <w:i/>
      <w:noProof/>
    </w:rPr>
  </w:style>
  <w:style w:type="paragraph" w:customStyle="1" w:styleId="Texto">
    <w:name w:val="Texto"/>
    <w:semiHidden/>
    <w:pPr>
      <w:spacing w:before="120" w:line="260" w:lineRule="exact"/>
      <w:ind w:left="851"/>
      <w:jc w:val="both"/>
    </w:pPr>
    <w:rPr>
      <w:rFonts w:ascii="Times" w:hAnsi="Times"/>
      <w:color w:val="000000"/>
      <w:sz w:val="22"/>
      <w:lang w:val="es-ES_tradnl"/>
    </w:rPr>
  </w:style>
  <w:style w:type="paragraph" w:customStyle="1" w:styleId="Sangra2detindependiente1">
    <w:name w:val="Sangría 2 de t. independiente1"/>
    <w:basedOn w:val="Normal"/>
    <w:semiHidden/>
    <w:pPr>
      <w:widowControl w:val="0"/>
      <w:spacing w:after="120"/>
      <w:ind w:left="360"/>
    </w:pPr>
    <w:rPr>
      <w:rFonts w:ascii="Book Antiqua" w:hAnsi="Book Antiqua"/>
    </w:rPr>
  </w:style>
  <w:style w:type="paragraph" w:customStyle="1" w:styleId="Encabezadoh">
    <w:name w:val="Encabezado.h"/>
    <w:basedOn w:val="Normal"/>
    <w:semiHidden/>
    <w:pPr>
      <w:widowControl w:val="0"/>
      <w:tabs>
        <w:tab w:val="center" w:pos="4819"/>
        <w:tab w:val="right" w:pos="9071"/>
      </w:tabs>
      <w:spacing w:after="120"/>
    </w:pPr>
    <w:rPr>
      <w:rFonts w:ascii="Book Antiqua" w:hAnsi="Book Antiqua"/>
    </w:rPr>
  </w:style>
  <w:style w:type="paragraph" w:styleId="Ttulodendice">
    <w:name w:val="index heading"/>
    <w:basedOn w:val="Normal"/>
    <w:next w:val="ndice1"/>
    <w:semiHidden/>
  </w:style>
  <w:style w:type="paragraph" w:styleId="ndice1">
    <w:name w:val="index 1"/>
    <w:basedOn w:val="Normal"/>
    <w:next w:val="Normal"/>
    <w:autoRedefine/>
    <w:semiHidden/>
    <w:pPr>
      <w:ind w:left="851" w:hanging="567"/>
      <w:jc w:val="left"/>
    </w:pPr>
  </w:style>
  <w:style w:type="paragraph" w:customStyle="1" w:styleId="PiePgNew">
    <w:name w:val="PiePágNew"/>
    <w:semiHidden/>
    <w:pPr>
      <w:spacing w:after="60" w:line="260" w:lineRule="exact"/>
    </w:pPr>
    <w:rPr>
      <w:rFonts w:ascii="Times" w:hAnsi="Times"/>
      <w:sz w:val="22"/>
      <w:lang w:val="es-ES_tradnl"/>
    </w:rPr>
  </w:style>
  <w:style w:type="paragraph" w:styleId="Sangra3detindependiente">
    <w:name w:val="Body Text Indent 3"/>
    <w:basedOn w:val="Normal"/>
    <w:pPr>
      <w:ind w:left="708"/>
    </w:pPr>
  </w:style>
  <w:style w:type="paragraph" w:styleId="Sangra2detindependiente">
    <w:name w:val="Body Text Indent 2"/>
    <w:basedOn w:val="Normal"/>
    <w:pPr>
      <w:ind w:left="576"/>
    </w:pPr>
  </w:style>
  <w:style w:type="paragraph" w:styleId="Textoindependiente3">
    <w:name w:val="Body Text 3"/>
    <w:basedOn w:val="Normal"/>
    <w:pPr>
      <w:spacing w:before="120" w:after="120"/>
    </w:pPr>
  </w:style>
  <w:style w:type="paragraph" w:styleId="Sangradetextonormal">
    <w:name w:val="Body Text Indent"/>
    <w:basedOn w:val="Normal"/>
    <w:pPr>
      <w:ind w:left="708"/>
    </w:pPr>
  </w:style>
  <w:style w:type="paragraph" w:styleId="Textodebloque">
    <w:name w:val="Block Text"/>
    <w:basedOn w:val="Normal"/>
    <w:pPr>
      <w:spacing w:line="240" w:lineRule="atLeast"/>
      <w:ind w:left="969" w:right="1701"/>
    </w:pPr>
    <w:rPr>
      <w:rFonts w:ascii="Arial" w:hAnsi="Arial"/>
      <w:snapToGrid w:val="0"/>
      <w:color w:val="000000"/>
      <w:sz w:val="24"/>
    </w:rPr>
  </w:style>
  <w:style w:type="character" w:styleId="Hipervnculo">
    <w:name w:val="Hyperlink"/>
    <w:uiPriority w:val="99"/>
    <w:rPr>
      <w:color w:val="0000FF"/>
      <w:u w:val="single"/>
    </w:rPr>
  </w:style>
  <w:style w:type="paragraph" w:customStyle="1" w:styleId="CellBody">
    <w:name w:val="CellBody"/>
    <w:semiHidden/>
    <w:pPr>
      <w:spacing w:before="120" w:after="80" w:line="260" w:lineRule="exact"/>
      <w:jc w:val="both"/>
    </w:pPr>
    <w:rPr>
      <w:rFonts w:ascii="Times" w:hAnsi="Times"/>
      <w:color w:val="000000"/>
      <w:sz w:val="22"/>
      <w:lang w:val="es-ES_tradnl"/>
    </w:rPr>
  </w:style>
  <w:style w:type="character" w:customStyle="1" w:styleId="carac-ttulo1">
    <w:name w:val="carac-título1"/>
    <w:basedOn w:val="Fuentedeprrafopredeter"/>
    <w:semiHidden/>
  </w:style>
  <w:style w:type="paragraph" w:customStyle="1" w:styleId="CellHeading">
    <w:name w:val="CellHeading"/>
    <w:semiHidden/>
    <w:pPr>
      <w:spacing w:before="120" w:after="80" w:line="260" w:lineRule="exact"/>
      <w:jc w:val="center"/>
    </w:pPr>
    <w:rPr>
      <w:rFonts w:ascii="Times" w:hAnsi="Times"/>
      <w:b/>
      <w:color w:val="000000"/>
      <w:sz w:val="22"/>
      <w:lang w:val="es-ES_tradnl"/>
    </w:rPr>
  </w:style>
  <w:style w:type="paragraph" w:customStyle="1" w:styleId="Bola">
    <w:name w:val="Bola"/>
    <w:semiHidden/>
    <w:pPr>
      <w:tabs>
        <w:tab w:val="left" w:pos="1247"/>
      </w:tabs>
      <w:spacing w:before="120" w:line="260" w:lineRule="exact"/>
      <w:ind w:left="1248" w:hanging="397"/>
      <w:jc w:val="both"/>
    </w:pPr>
    <w:rPr>
      <w:rFonts w:ascii="Times" w:hAnsi="Times"/>
      <w:color w:val="000000"/>
      <w:sz w:val="22"/>
      <w:lang w:val="es-ES_tradnl"/>
    </w:rPr>
  </w:style>
  <w:style w:type="paragraph" w:styleId="Textoindependiente2">
    <w:name w:val="Body Text 2"/>
    <w:basedOn w:val="Normal"/>
    <w:rPr>
      <w:b/>
    </w:rPr>
  </w:style>
  <w:style w:type="paragraph" w:styleId="Ttulo">
    <w:name w:val="Title"/>
    <w:basedOn w:val="Normal"/>
    <w:qFormat/>
    <w:pPr>
      <w:jc w:val="center"/>
    </w:pPr>
    <w:rPr>
      <w:rFonts w:ascii="TheSansCorrespondence" w:hAnsi="TheSansCorrespondence"/>
      <w:b/>
      <w:sz w:val="24"/>
      <w:szCs w:val="24"/>
      <w:u w:val="single"/>
    </w:rPr>
  </w:style>
  <w:style w:type="paragraph" w:styleId="Textocomentario">
    <w:name w:val="annotation text"/>
    <w:basedOn w:val="Normal"/>
    <w:semiHidden/>
    <w:pPr>
      <w:spacing w:before="40" w:after="120"/>
    </w:pPr>
    <w:rPr>
      <w:rFonts w:ascii="Helvetica" w:hAnsi="Helvetica"/>
      <w:lang w:val="es-ES_tradnl"/>
    </w:rPr>
  </w:style>
  <w:style w:type="paragraph" w:styleId="Mapadeldocumento">
    <w:name w:val="Document Map"/>
    <w:basedOn w:val="Normal"/>
    <w:semiHidden/>
    <w:pPr>
      <w:shd w:val="clear" w:color="auto" w:fill="000080"/>
    </w:pPr>
    <w:rPr>
      <w:rFonts w:ascii="Tahoma" w:hAnsi="Tahoma"/>
      <w:sz w:val="18"/>
    </w:rPr>
  </w:style>
  <w:style w:type="paragraph" w:styleId="ndice3">
    <w:name w:val="index 3"/>
    <w:basedOn w:val="Normal"/>
    <w:next w:val="Normal"/>
    <w:autoRedefine/>
    <w:semiHidden/>
    <w:pPr>
      <w:ind w:left="660" w:hanging="220"/>
    </w:pPr>
    <w:rPr>
      <w:rFonts w:ascii="Book Antiqua" w:hAnsi="Book Antiqua"/>
      <w:lang w:val="es-ES_tradnl"/>
    </w:rPr>
  </w:style>
  <w:style w:type="paragraph" w:styleId="Textonotapie">
    <w:name w:val="footnote text"/>
    <w:aliases w:val="Nota al pie,Texto nota pie Car2,Texto nota pie Car1 Car,Texto nota pie Car Car Car,Texto nota pie Car Car1,Texto nota pie Car2 Car Car1,Texto nota pie Car1 Car Car Car1,Texto nota pie Car Car Car Car Car1,Texto nota pie Car Car1 Car Car"/>
    <w:basedOn w:val="Normal"/>
    <w:link w:val="TextonotapieCar"/>
    <w:rsid w:val="00480D6B"/>
    <w:rPr>
      <w:sz w:val="18"/>
    </w:rPr>
  </w:style>
  <w:style w:type="paragraph" w:customStyle="1" w:styleId="NotaaPiedePgina">
    <w:name w:val="Nota a Pie de Página"/>
    <w:basedOn w:val="Normal"/>
    <w:pPr>
      <w:tabs>
        <w:tab w:val="left" w:pos="993"/>
      </w:tabs>
      <w:ind w:left="993" w:hanging="142"/>
    </w:pPr>
    <w:rPr>
      <w:sz w:val="18"/>
    </w:rPr>
  </w:style>
  <w:style w:type="paragraph" w:customStyle="1" w:styleId="Logo">
    <w:name w:val="Logo"/>
    <w:basedOn w:val="Normal"/>
    <w:next w:val="Normal"/>
    <w:semiHidden/>
    <w:pPr>
      <w:widowControl w:val="0"/>
      <w:tabs>
        <w:tab w:val="left" w:pos="709"/>
        <w:tab w:val="left" w:pos="1418"/>
        <w:tab w:val="left" w:pos="2126"/>
        <w:tab w:val="left" w:pos="2835"/>
        <w:tab w:val="left" w:pos="3544"/>
      </w:tabs>
      <w:spacing w:after="120"/>
    </w:pPr>
    <w:rPr>
      <w:rFonts w:ascii="Arial" w:hAnsi="Arial"/>
      <w:sz w:val="24"/>
      <w:lang w:val="es-ES_tradnl"/>
    </w:rPr>
  </w:style>
  <w:style w:type="paragraph" w:customStyle="1" w:styleId="RF">
    <w:name w:val="RF"/>
    <w:basedOn w:val="Normal"/>
    <w:semiHidden/>
    <w:pPr>
      <w:tabs>
        <w:tab w:val="num" w:pos="360"/>
      </w:tabs>
      <w:spacing w:after="60"/>
      <w:ind w:left="360" w:hanging="360"/>
    </w:pPr>
    <w:rPr>
      <w:sz w:val="24"/>
    </w:rPr>
  </w:style>
  <w:style w:type="paragraph" w:customStyle="1" w:styleId="temas">
    <w:name w:val="temas"/>
    <w:basedOn w:val="Normal"/>
    <w:semiHidden/>
    <w:pPr>
      <w:widowControl w:val="0"/>
      <w:suppressAutoHyphens/>
      <w:spacing w:before="120"/>
    </w:pPr>
    <w:rPr>
      <w:rFonts w:ascii="Arial" w:hAnsi="Arial"/>
      <w:lang w:val="es-ES_tradnl"/>
    </w:rPr>
  </w:style>
  <w:style w:type="character" w:styleId="Refdecomentario">
    <w:name w:val="annotation reference"/>
    <w:semiHidden/>
    <w:rPr>
      <w:sz w:val="16"/>
    </w:rPr>
  </w:style>
  <w:style w:type="paragraph" w:customStyle="1" w:styleId="Apendice1">
    <w:name w:val="Apendice 1"/>
    <w:basedOn w:val="Normal"/>
    <w:next w:val="Normal"/>
    <w:autoRedefine/>
    <w:semiHidden/>
    <w:pPr>
      <w:numPr>
        <w:numId w:val="1"/>
      </w:numPr>
      <w:spacing w:after="120"/>
      <w:outlineLvl w:val="0"/>
    </w:pPr>
    <w:rPr>
      <w:b/>
      <w:caps/>
      <w:color w:val="000080"/>
    </w:rPr>
  </w:style>
  <w:style w:type="paragraph" w:customStyle="1" w:styleId="Apendice2">
    <w:name w:val="Apendice 2"/>
    <w:basedOn w:val="Normal"/>
    <w:next w:val="Normal"/>
    <w:autoRedefine/>
    <w:semiHidden/>
    <w:pPr>
      <w:numPr>
        <w:ilvl w:val="1"/>
        <w:numId w:val="1"/>
      </w:numPr>
      <w:spacing w:after="60"/>
      <w:outlineLvl w:val="1"/>
    </w:pPr>
    <w:rPr>
      <w:b/>
      <w:i/>
      <w:color w:val="000080"/>
      <w:sz w:val="24"/>
    </w:rPr>
  </w:style>
  <w:style w:type="paragraph" w:styleId="TDC4">
    <w:name w:val="toc 4"/>
    <w:basedOn w:val="Normal"/>
    <w:next w:val="Normal"/>
    <w:autoRedefine/>
    <w:uiPriority w:val="39"/>
    <w:pPr>
      <w:tabs>
        <w:tab w:val="left" w:pos="1540"/>
        <w:tab w:val="right" w:leader="dot" w:pos="10206"/>
      </w:tabs>
      <w:ind w:left="658"/>
    </w:pPr>
    <w:rPr>
      <w:noProof/>
    </w:rPr>
  </w:style>
  <w:style w:type="paragraph" w:styleId="TDC5">
    <w:name w:val="toc 5"/>
    <w:basedOn w:val="Normal"/>
    <w:next w:val="Normal"/>
    <w:autoRedefine/>
    <w:semiHidden/>
    <w:pPr>
      <w:ind w:left="880"/>
    </w:pPr>
  </w:style>
  <w:style w:type="paragraph" w:styleId="TDC6">
    <w:name w:val="toc 6"/>
    <w:basedOn w:val="Normal"/>
    <w:next w:val="Normal"/>
    <w:autoRedefine/>
    <w:semiHidden/>
    <w:pPr>
      <w:ind w:left="1100"/>
    </w:pPr>
  </w:style>
  <w:style w:type="paragraph" w:styleId="TDC7">
    <w:name w:val="toc 7"/>
    <w:basedOn w:val="Normal"/>
    <w:next w:val="Normal"/>
    <w:autoRedefine/>
    <w:semiHidden/>
    <w:pPr>
      <w:ind w:left="1320"/>
    </w:pPr>
  </w:style>
  <w:style w:type="paragraph" w:styleId="TDC8">
    <w:name w:val="toc 8"/>
    <w:basedOn w:val="Normal"/>
    <w:next w:val="Normal"/>
    <w:autoRedefine/>
    <w:semiHidden/>
    <w:pPr>
      <w:ind w:left="1540"/>
    </w:pPr>
  </w:style>
  <w:style w:type="paragraph" w:styleId="TDC9">
    <w:name w:val="toc 9"/>
    <w:basedOn w:val="Normal"/>
    <w:next w:val="Normal"/>
    <w:autoRedefine/>
    <w:semiHidden/>
    <w:pPr>
      <w:ind w:left="1760"/>
    </w:pPr>
  </w:style>
  <w:style w:type="paragraph" w:customStyle="1" w:styleId="TABLATEXIZQ">
    <w:name w:val="TABLA_TEX_IZQ"/>
    <w:basedOn w:val="Normal"/>
    <w:semiHidden/>
    <w:pPr>
      <w:spacing w:after="20"/>
      <w:ind w:left="0"/>
    </w:pPr>
    <w:rPr>
      <w:sz w:val="20"/>
      <w:lang w:val="es-ES_tradnl"/>
    </w:rPr>
  </w:style>
  <w:style w:type="paragraph" w:styleId="Epgrafe">
    <w:name w:val="caption"/>
    <w:basedOn w:val="Normal"/>
    <w:next w:val="Normal"/>
    <w:qFormat/>
    <w:rPr>
      <w:b/>
      <w:sz w:val="24"/>
    </w:rPr>
  </w:style>
  <w:style w:type="character" w:styleId="Hipervnculovisitado">
    <w:name w:val="FollowedHyperlink"/>
    <w:rPr>
      <w:color w:val="800080"/>
      <w:u w:val="single"/>
    </w:rPr>
  </w:style>
  <w:style w:type="paragraph" w:customStyle="1" w:styleId="Normal1">
    <w:name w:val="Normal1"/>
    <w:semiHidden/>
    <w:pPr>
      <w:spacing w:after="120"/>
      <w:ind w:firstLine="567"/>
      <w:jc w:val="both"/>
    </w:pPr>
    <w:rPr>
      <w:rFonts w:ascii="Garamond" w:hAnsi="Garamond"/>
      <w:sz w:val="24"/>
    </w:rPr>
  </w:style>
  <w:style w:type="paragraph" w:styleId="Listaconvietas3">
    <w:name w:val="List Bullet 3"/>
    <w:basedOn w:val="Normal"/>
    <w:pPr>
      <w:numPr>
        <w:numId w:val="2"/>
      </w:numPr>
      <w:tabs>
        <w:tab w:val="left" w:pos="1758"/>
      </w:tabs>
      <w:ind w:left="1758" w:hanging="284"/>
    </w:pPr>
    <w:rPr>
      <w:snapToGrid w:val="0"/>
      <w:color w:val="000000"/>
      <w:sz w:val="20"/>
    </w:rPr>
  </w:style>
  <w:style w:type="paragraph" w:styleId="Listaconvietas2">
    <w:name w:val="List Bullet 2"/>
    <w:basedOn w:val="Normal"/>
    <w:pPr>
      <w:numPr>
        <w:numId w:val="13"/>
      </w:numPr>
      <w:tabs>
        <w:tab w:val="clear" w:pos="2762"/>
        <w:tab w:val="left" w:pos="1474"/>
      </w:tabs>
      <w:ind w:left="1475" w:hanging="284"/>
    </w:pPr>
    <w:rPr>
      <w:snapToGrid w:val="0"/>
    </w:rPr>
  </w:style>
  <w:style w:type="paragraph" w:styleId="Listaconvietas">
    <w:name w:val="List Bullet"/>
    <w:basedOn w:val="Normal"/>
    <w:pPr>
      <w:numPr>
        <w:numId w:val="3"/>
      </w:numPr>
      <w:tabs>
        <w:tab w:val="clear" w:pos="1233"/>
      </w:tabs>
      <w:ind w:left="1179" w:hanging="306"/>
    </w:pPr>
    <w:rPr>
      <w:snapToGrid w:val="0"/>
      <w:color w:val="000000"/>
    </w:rPr>
  </w:style>
  <w:style w:type="paragraph" w:styleId="Listaconnmeros5">
    <w:name w:val="List Number 5"/>
    <w:basedOn w:val="Normal"/>
    <w:pPr>
      <w:numPr>
        <w:numId w:val="4"/>
      </w:numPr>
      <w:tabs>
        <w:tab w:val="left" w:pos="1418"/>
      </w:tabs>
      <w:spacing w:after="120" w:line="260" w:lineRule="exact"/>
      <w:ind w:left="1418" w:hanging="286"/>
      <w:jc w:val="left"/>
    </w:pPr>
    <w:rPr>
      <w:snapToGrid w:val="0"/>
      <w:sz w:val="24"/>
      <w:lang w:val="es-ES_tradnl"/>
    </w:rPr>
  </w:style>
  <w:style w:type="paragraph" w:styleId="Listaconnmeros2">
    <w:name w:val="List Number 2"/>
    <w:basedOn w:val="Normal"/>
    <w:pPr>
      <w:numPr>
        <w:numId w:val="5"/>
      </w:numPr>
      <w:jc w:val="left"/>
    </w:pPr>
    <w:rPr>
      <w:snapToGrid w:val="0"/>
    </w:rPr>
  </w:style>
  <w:style w:type="paragraph" w:customStyle="1" w:styleId="PORTADALOGO">
    <w:name w:val="PORTADA_LOGO"/>
    <w:basedOn w:val="Normal1"/>
    <w:semiHidden/>
    <w:pPr>
      <w:spacing w:after="0"/>
      <w:ind w:firstLine="0"/>
    </w:pPr>
    <w:rPr>
      <w:lang w:val="es-ES_tradnl"/>
    </w:rPr>
  </w:style>
  <w:style w:type="character" w:styleId="Refdenotaalfinal">
    <w:name w:val="endnote reference"/>
    <w:semiHidden/>
    <w:rPr>
      <w:vertAlign w:val="superscript"/>
    </w:rPr>
  </w:style>
  <w:style w:type="paragraph" w:customStyle="1" w:styleId="RX">
    <w:name w:val="RX"/>
    <w:basedOn w:val="Normal"/>
    <w:semiHidden/>
    <w:pPr>
      <w:tabs>
        <w:tab w:val="num" w:pos="1080"/>
      </w:tabs>
      <w:spacing w:after="60"/>
      <w:ind w:left="0"/>
    </w:pPr>
    <w:rPr>
      <w:sz w:val="24"/>
    </w:rPr>
  </w:style>
  <w:style w:type="paragraph" w:customStyle="1" w:styleId="ComentarioL1">
    <w:name w:val="Comentario L1"/>
    <w:basedOn w:val="Normal"/>
    <w:pPr>
      <w:numPr>
        <w:numId w:val="6"/>
      </w:numPr>
      <w:tabs>
        <w:tab w:val="left" w:pos="1230"/>
      </w:tabs>
    </w:pPr>
    <w:rPr>
      <w:snapToGrid w:val="0"/>
      <w:color w:val="0000FF"/>
      <w:sz w:val="20"/>
      <w:lang w:val="es-ES_tradnl"/>
    </w:rPr>
  </w:style>
  <w:style w:type="character" w:customStyle="1" w:styleId="ComentarioL1Car">
    <w:name w:val="Comentario L1 Car"/>
    <w:rPr>
      <w:rFonts w:ascii="Garamond" w:hAnsi="Garamond"/>
      <w:snapToGrid w:val="0"/>
      <w:color w:val="0000FF"/>
      <w:lang w:val="es-ES_tradnl" w:eastAsia="es-ES" w:bidi="ar-SA"/>
    </w:rPr>
  </w:style>
  <w:style w:type="paragraph" w:customStyle="1" w:styleId="ComentarioL2">
    <w:name w:val="Comentario L2"/>
    <w:basedOn w:val="Normal"/>
    <w:pPr>
      <w:numPr>
        <w:numId w:val="7"/>
      </w:numPr>
      <w:tabs>
        <w:tab w:val="left" w:pos="1571"/>
      </w:tabs>
      <w:ind w:left="1570" w:hanging="357"/>
    </w:pPr>
    <w:rPr>
      <w:color w:val="0000FF"/>
      <w:sz w:val="20"/>
    </w:rPr>
  </w:style>
  <w:style w:type="paragraph" w:customStyle="1" w:styleId="EncabezadoTB">
    <w:name w:val="Encabezado TB"/>
    <w:basedOn w:val="Normal"/>
    <w:pPr>
      <w:ind w:left="0"/>
      <w:jc w:val="center"/>
    </w:pPr>
    <w:rPr>
      <w:rFonts w:ascii="TheSansCorrespondence" w:hAnsi="TheSansCorrespondence"/>
      <w:b/>
      <w:bCs/>
      <w:spacing w:val="-2"/>
      <w:sz w:val="20"/>
      <w:szCs w:val="19"/>
    </w:rPr>
  </w:style>
  <w:style w:type="paragraph" w:customStyle="1" w:styleId="ContenidoTB">
    <w:name w:val="Contenido TB"/>
    <w:basedOn w:val="Normal"/>
    <w:pPr>
      <w:ind w:left="0"/>
    </w:pPr>
    <w:rPr>
      <w:spacing w:val="-2"/>
      <w:sz w:val="19"/>
    </w:rPr>
  </w:style>
  <w:style w:type="character" w:styleId="AcrnimoHTML">
    <w:name w:val="HTML Acronym"/>
    <w:basedOn w:val="Fuentedeprrafopredeter"/>
  </w:style>
  <w:style w:type="paragraph" w:styleId="Cierre">
    <w:name w:val="Closing"/>
    <w:basedOn w:val="Normal"/>
    <w:pPr>
      <w:ind w:left="4252"/>
    </w:pPr>
  </w:style>
  <w:style w:type="character" w:styleId="CitaHTML">
    <w:name w:val="HTML Cite"/>
    <w:rPr>
      <w:i/>
      <w:iCs/>
    </w:rPr>
  </w:style>
  <w:style w:type="character" w:styleId="CdigoHTML">
    <w:name w:val="HTML Code"/>
    <w:rPr>
      <w:rFonts w:ascii="Courier New" w:hAnsi="Courier New" w:cs="Courier New"/>
      <w:sz w:val="20"/>
      <w:szCs w:val="20"/>
    </w:r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paragraph" w:styleId="Continuarlista3">
    <w:name w:val="List Continue 3"/>
    <w:basedOn w:val="Normal"/>
    <w:pPr>
      <w:spacing w:after="120"/>
      <w:ind w:left="849"/>
    </w:pPr>
  </w:style>
  <w:style w:type="paragraph" w:styleId="Continuarlista4">
    <w:name w:val="List Continue 4"/>
    <w:basedOn w:val="Normal"/>
    <w:pPr>
      <w:spacing w:after="120"/>
      <w:ind w:left="1132"/>
    </w:pPr>
  </w:style>
  <w:style w:type="paragraph" w:styleId="Continuarlista5">
    <w:name w:val="List Continue 5"/>
    <w:basedOn w:val="Normal"/>
    <w:pPr>
      <w:spacing w:after="120"/>
      <w:ind w:left="1415"/>
    </w:pPr>
  </w:style>
  <w:style w:type="character" w:styleId="DefinicinHTML">
    <w:name w:val="HTML Definition"/>
    <w:rPr>
      <w:i/>
      <w:iCs/>
    </w:rPr>
  </w:style>
  <w:style w:type="paragraph" w:styleId="DireccinHTML">
    <w:name w:val="HTML Address"/>
    <w:basedOn w:val="Normal"/>
    <w:rPr>
      <w:i/>
      <w:iCs/>
    </w:rPr>
  </w:style>
  <w:style w:type="paragraph" w:styleId="Direccinsobre">
    <w:name w:val="envelope address"/>
    <w:basedOn w:val="Normal"/>
    <w:pPr>
      <w:framePr w:w="7920" w:h="1980" w:hRule="exact" w:hSpace="141" w:wrap="auto" w:hAnchor="page" w:xAlign="center" w:yAlign="bottom"/>
      <w:ind w:left="2880"/>
    </w:pPr>
    <w:rPr>
      <w:rFonts w:ascii="Arial" w:hAnsi="Arial" w:cs="Arial"/>
      <w:sz w:val="24"/>
      <w:szCs w:val="24"/>
    </w:rPr>
  </w:style>
  <w:style w:type="character" w:styleId="EjemplodeHTML">
    <w:name w:val="HTML Sample"/>
    <w:rPr>
      <w:rFonts w:ascii="Courier New" w:hAnsi="Courier New" w:cs="Courier New"/>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tyle>
  <w:style w:type="character" w:styleId="nfasis">
    <w:name w:val="Emphasis"/>
    <w:qFormat/>
    <w:rPr>
      <w:i/>
      <w:iCs/>
    </w:rPr>
  </w:style>
  <w:style w:type="paragraph" w:styleId="Fecha">
    <w:name w:val="Date"/>
    <w:basedOn w:val="Normal"/>
    <w:next w:val="Normal"/>
  </w:style>
  <w:style w:type="paragraph" w:styleId="Firma">
    <w:name w:val="Signature"/>
    <w:basedOn w:val="Normal"/>
    <w:pPr>
      <w:ind w:left="4252"/>
    </w:pPr>
  </w:style>
  <w:style w:type="paragraph" w:styleId="Firmadecorreoelectrnico">
    <w:name w:val="E-mail Signature"/>
    <w:basedOn w:val="Normal"/>
  </w:style>
  <w:style w:type="paragraph" w:styleId="HTMLconformatoprevio">
    <w:name w:val="HTML Preformatted"/>
    <w:basedOn w:val="Normal"/>
    <w:rPr>
      <w:rFonts w:ascii="Courier New" w:hAnsi="Courier New" w:cs="Courier New"/>
      <w:sz w:val="20"/>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Lista5">
    <w:name w:val="List 5"/>
    <w:basedOn w:val="Normal"/>
    <w:pPr>
      <w:ind w:left="1415" w:hanging="283"/>
    </w:pPr>
  </w:style>
  <w:style w:type="paragraph" w:styleId="Listaconnmeros4">
    <w:name w:val="List Number 4"/>
    <w:basedOn w:val="Normal"/>
    <w:pPr>
      <w:numPr>
        <w:numId w:val="10"/>
      </w:numPr>
    </w:pPr>
  </w:style>
  <w:style w:type="paragraph" w:styleId="Listaconvietas4">
    <w:name w:val="List Bullet 4"/>
    <w:basedOn w:val="Normal"/>
    <w:pPr>
      <w:numPr>
        <w:numId w:val="11"/>
      </w:numPr>
    </w:pPr>
  </w:style>
  <w:style w:type="paragraph" w:styleId="Listaconvietas5">
    <w:name w:val="List Bullet 5"/>
    <w:basedOn w:val="Normal"/>
    <w:pPr>
      <w:numPr>
        <w:numId w:val="12"/>
      </w:numPr>
    </w:pPr>
  </w:style>
  <w:style w:type="character" w:styleId="MquinadeescribirHTML">
    <w:name w:val="HTML Typewriter"/>
    <w:rPr>
      <w:rFonts w:ascii="Courier New" w:hAnsi="Courier New" w:cs="Courier New"/>
      <w:sz w:val="20"/>
      <w:szCs w:val="20"/>
    </w:rPr>
  </w:style>
  <w:style w:type="paragraph" w:styleId="NormalWeb">
    <w:name w:val="Normal (Web)"/>
    <w:basedOn w:val="Normal"/>
    <w:rPr>
      <w:rFonts w:ascii="Times New Roman" w:hAnsi="Times New Roman"/>
      <w:sz w:val="24"/>
      <w:szCs w:val="24"/>
    </w:rPr>
  </w:style>
  <w:style w:type="character" w:styleId="Nmerodelnea">
    <w:name w:val="line number"/>
    <w:basedOn w:val="Fuentedeprrafopredeter"/>
  </w:style>
  <w:style w:type="paragraph" w:styleId="Remitedesobre">
    <w:name w:val="envelope return"/>
    <w:basedOn w:val="Normal"/>
    <w:rPr>
      <w:rFonts w:ascii="Arial" w:hAnsi="Arial" w:cs="Arial"/>
      <w:sz w:val="20"/>
    </w:rPr>
  </w:style>
  <w:style w:type="paragraph" w:styleId="Saludo">
    <w:name w:val="Salutation"/>
    <w:basedOn w:val="Normal"/>
    <w:next w:val="Normal"/>
  </w:style>
  <w:style w:type="paragraph" w:styleId="Sangranormal">
    <w:name w:val="Normal Indent"/>
    <w:basedOn w:val="Normal"/>
    <w:pPr>
      <w:ind w:left="708"/>
    </w:pPr>
  </w:style>
  <w:style w:type="paragraph" w:styleId="Subttulo">
    <w:name w:val="Subtitle"/>
    <w:basedOn w:val="Normal"/>
    <w:qFormat/>
    <w:pPr>
      <w:spacing w:after="60"/>
      <w:jc w:val="center"/>
      <w:outlineLvl w:val="1"/>
    </w:pPr>
    <w:rPr>
      <w:rFonts w:ascii="Arial" w:hAnsi="Arial" w:cs="Arial"/>
      <w:sz w:val="24"/>
      <w:szCs w:val="24"/>
    </w:rPr>
  </w:style>
  <w:style w:type="character" w:styleId="TecladoHTML">
    <w:name w:val="HTML Keyboard"/>
    <w:rPr>
      <w:rFonts w:ascii="Courier New" w:hAnsi="Courier New" w:cs="Courier New"/>
      <w:sz w:val="20"/>
      <w:szCs w:val="20"/>
    </w:rPr>
  </w:style>
  <w:style w:type="character" w:styleId="Textoennegrita">
    <w:name w:val="Strong"/>
    <w:qFormat/>
    <w:rPr>
      <w:b/>
      <w:bCs/>
    </w:rPr>
  </w:style>
  <w:style w:type="paragraph" w:styleId="Textoindependienteprimerasangra">
    <w:name w:val="Body Text First Indent"/>
    <w:basedOn w:val="Textoindependiente"/>
    <w:pPr>
      <w:spacing w:after="120"/>
      <w:ind w:firstLine="210"/>
    </w:pPr>
    <w:rPr>
      <w:sz w:val="22"/>
      <w:lang w:val="es-ES"/>
    </w:rPr>
  </w:style>
  <w:style w:type="paragraph" w:styleId="Textoindependienteprimerasangra2">
    <w:name w:val="Body Text First Indent 2"/>
    <w:basedOn w:val="Sangradetextonormal"/>
    <w:pPr>
      <w:spacing w:after="120"/>
      <w:ind w:left="283" w:firstLine="210"/>
    </w:pPr>
  </w:style>
  <w:style w:type="paragraph" w:styleId="Textosinformato">
    <w:name w:val="Plain Text"/>
    <w:basedOn w:val="Normal"/>
    <w:rPr>
      <w:rFonts w:ascii="Courier New" w:hAnsi="Courier New" w:cs="Courier New"/>
      <w:sz w:val="20"/>
    </w:rPr>
  </w:style>
  <w:style w:type="character" w:styleId="VariableHTML">
    <w:name w:val="HTML Variable"/>
    <w:rPr>
      <w:i/>
      <w:iCs/>
    </w:rPr>
  </w:style>
  <w:style w:type="paragraph" w:styleId="Listaconnmeros">
    <w:name w:val="List Number"/>
    <w:basedOn w:val="Normal"/>
    <w:pPr>
      <w:numPr>
        <w:numId w:val="8"/>
      </w:numPr>
    </w:pPr>
  </w:style>
  <w:style w:type="paragraph" w:styleId="Listaconnmeros3">
    <w:name w:val="List Number 3"/>
    <w:basedOn w:val="Normal"/>
    <w:pPr>
      <w:numPr>
        <w:numId w:val="9"/>
      </w:numPr>
      <w:ind w:left="1775" w:hanging="357"/>
    </w:pPr>
    <w:rPr>
      <w:sz w:val="20"/>
    </w:rPr>
  </w:style>
  <w:style w:type="character" w:customStyle="1" w:styleId="Ttulo2CarCar">
    <w:name w:val="Título 2 Car Car"/>
    <w:rPr>
      <w:rFonts w:ascii="TheSansCorrespondence" w:hAnsi="TheSansCorrespondence"/>
      <w:b/>
      <w:snapToGrid w:val="0"/>
      <w:sz w:val="24"/>
      <w:szCs w:val="24"/>
      <w:lang w:val="es-ES_tradnl" w:eastAsia="es-ES" w:bidi="ar-SA"/>
    </w:rPr>
  </w:style>
  <w:style w:type="paragraph" w:customStyle="1" w:styleId="ComentarioL1Num">
    <w:name w:val="Comentario L1 Num"/>
    <w:basedOn w:val="Listaconnmeros"/>
    <w:rPr>
      <w:color w:val="0000FF"/>
      <w:sz w:val="20"/>
      <w:lang w:val="es-ES_tradnl"/>
    </w:rPr>
  </w:style>
  <w:style w:type="character" w:styleId="Refdenotaalpie">
    <w:name w:val="footnote reference"/>
    <w:aliases w:val="fr,Style 6,Footnote Reference Superscript,Footnote symbol,Footnote,Appel note de bas de p,Nota,BVI fnr,SUPERS"/>
    <w:uiPriority w:val="99"/>
    <w:rsid w:val="00480D6B"/>
    <w:rPr>
      <w:vertAlign w:val="superscript"/>
    </w:rPr>
  </w:style>
  <w:style w:type="character" w:customStyle="1" w:styleId="Normal1Car1">
    <w:name w:val="Normal1 Car1"/>
    <w:rPr>
      <w:rFonts w:ascii="Garamond" w:hAnsi="Garamond"/>
      <w:sz w:val="24"/>
      <w:lang w:val="es-ES" w:eastAsia="es-ES" w:bidi="ar-SA"/>
    </w:rPr>
  </w:style>
  <w:style w:type="paragraph" w:customStyle="1" w:styleId="PORTADATITULO">
    <w:name w:val="PORTADA_TITULO"/>
    <w:basedOn w:val="Normal1"/>
    <w:pPr>
      <w:framePr w:w="7938" w:hSpace="142" w:vSpace="142" w:wrap="around" w:vAnchor="page" w:hAnchor="margin" w:xAlign="center" w:y="7656" w:anchorLock="1"/>
      <w:jc w:val="center"/>
    </w:pPr>
    <w:rPr>
      <w:b/>
      <w:caps/>
      <w:sz w:val="36"/>
    </w:rPr>
  </w:style>
  <w:style w:type="paragraph" w:customStyle="1" w:styleId="PORTADAAREA">
    <w:name w:val="PORTADA_AREA"/>
    <w:basedOn w:val="Normal1"/>
    <w:pPr>
      <w:framePr w:hSpace="142" w:vSpace="142" w:wrap="around" w:vAnchor="page" w:hAnchor="margin" w:xAlign="center" w:y="12305"/>
      <w:ind w:left="113" w:right="113"/>
    </w:pPr>
    <w:rPr>
      <w:caps/>
      <w:spacing w:val="30"/>
    </w:rPr>
  </w:style>
  <w:style w:type="paragraph" w:customStyle="1" w:styleId="TEXTOCENTRADO">
    <w:name w:val="TEXTO_CENTRADO"/>
    <w:basedOn w:val="Normal1"/>
    <w:autoRedefine/>
    <w:pPr>
      <w:ind w:firstLine="0"/>
      <w:jc w:val="center"/>
    </w:pPr>
    <w:rPr>
      <w:noProof/>
    </w:rPr>
  </w:style>
  <w:style w:type="paragraph" w:customStyle="1" w:styleId="INDICETIT">
    <w:name w:val="INDICE_TIT"/>
    <w:basedOn w:val="Normal1"/>
    <w:pPr>
      <w:spacing w:before="720" w:after="360"/>
      <w:jc w:val="center"/>
    </w:pPr>
    <w:rPr>
      <w:b/>
    </w:rPr>
  </w:style>
  <w:style w:type="paragraph" w:customStyle="1" w:styleId="PORTADATX4">
    <w:name w:val="PORTADA_TX4"/>
    <w:basedOn w:val="Normal"/>
    <w:pPr>
      <w:framePr w:w="1474" w:h="3799" w:hRule="exact" w:hSpace="142" w:vSpace="142" w:wrap="around" w:vAnchor="page" w:hAnchor="page" w:x="341" w:y="6522" w:anchorLock="1"/>
      <w:spacing w:after="60"/>
      <w:ind w:left="0"/>
      <w:jc w:val="left"/>
    </w:pPr>
    <w:rPr>
      <w:lang w:val="es-ES_tradnl"/>
    </w:rPr>
  </w:style>
  <w:style w:type="paragraph" w:customStyle="1" w:styleId="PORTADATX5">
    <w:name w:val="PORTADA_TX5"/>
    <w:basedOn w:val="PORTADATX4"/>
    <w:pPr>
      <w:framePr w:w="907" w:wrap="around" w:x="10717"/>
    </w:pPr>
    <w:rPr>
      <w:lang w:val="es-ES"/>
    </w:rPr>
  </w:style>
  <w:style w:type="paragraph" w:customStyle="1" w:styleId="ListaAnexos">
    <w:name w:val="Lista Anexos"/>
    <w:basedOn w:val="Normal1"/>
    <w:autoRedefine/>
    <w:pPr>
      <w:tabs>
        <w:tab w:val="left" w:pos="1276"/>
        <w:tab w:val="right" w:leader="dot" w:pos="10065"/>
      </w:tabs>
      <w:spacing w:before="120"/>
      <w:ind w:left="1276" w:right="1814" w:hanging="1276"/>
    </w:pPr>
    <w:rPr>
      <w:caps/>
    </w:rPr>
  </w:style>
  <w:style w:type="paragraph" w:customStyle="1" w:styleId="TtuloAnexos">
    <w:name w:val="Título Anexos"/>
    <w:basedOn w:val="Normal1"/>
    <w:next w:val="ListaAnexos"/>
    <w:pPr>
      <w:pageBreakBefore/>
      <w:widowControl w:val="0"/>
      <w:spacing w:before="240" w:after="360"/>
      <w:ind w:left="1418" w:hanging="1418"/>
    </w:pPr>
    <w:rPr>
      <w:b/>
      <w:caps/>
      <w:kern w:val="28"/>
      <w:lang w:val="es-ES_tradnl"/>
    </w:rPr>
  </w:style>
  <w:style w:type="paragraph" w:customStyle="1" w:styleId="Portada5">
    <w:name w:val="Portada5"/>
    <w:basedOn w:val="Normal1"/>
    <w:next w:val="Normal"/>
    <w:pPr>
      <w:tabs>
        <w:tab w:val="left" w:pos="709"/>
        <w:tab w:val="left" w:pos="1418"/>
        <w:tab w:val="left" w:pos="2126"/>
        <w:tab w:val="left" w:pos="2835"/>
        <w:tab w:val="left" w:pos="3544"/>
      </w:tabs>
    </w:pPr>
    <w:rPr>
      <w:sz w:val="16"/>
      <w:lang w:val="es-ES_tradnl"/>
    </w:rPr>
  </w:style>
  <w:style w:type="paragraph" w:customStyle="1" w:styleId="TABLATEXCENT">
    <w:name w:val="TABLA_TEX_CENT"/>
    <w:basedOn w:val="TABLATEXIZQ"/>
    <w:pPr>
      <w:spacing w:before="120"/>
      <w:jc w:val="center"/>
    </w:pPr>
  </w:style>
  <w:style w:type="paragraph" w:customStyle="1" w:styleId="TtuloAnexo">
    <w:name w:val="Título Anexo"/>
    <w:basedOn w:val="Normal"/>
    <w:pPr>
      <w:ind w:left="0"/>
      <w:jc w:val="left"/>
    </w:pPr>
    <w:rPr>
      <w:rFonts w:ascii="Times New Roman" w:hAnsi="Times New Roman"/>
      <w:b/>
      <w:sz w:val="24"/>
      <w:szCs w:val="24"/>
    </w:rPr>
  </w:style>
  <w:style w:type="paragraph" w:customStyle="1" w:styleId="Tablas">
    <w:name w:val="Tablas"/>
    <w:basedOn w:val="Normal"/>
    <w:pPr>
      <w:tabs>
        <w:tab w:val="left" w:pos="-2105"/>
        <w:tab w:val="left" w:pos="-1385"/>
        <w:tab w:val="left" w:pos="-665"/>
        <w:tab w:val="left" w:pos="571"/>
        <w:tab w:val="left" w:pos="1147"/>
        <w:tab w:val="left" w:pos="1723"/>
        <w:tab w:val="left" w:pos="2299"/>
        <w:tab w:val="left" w:pos="2875"/>
        <w:tab w:val="left" w:pos="3451"/>
        <w:tab w:val="left" w:pos="4027"/>
        <w:tab w:val="left" w:pos="4603"/>
      </w:tabs>
      <w:spacing w:before="60" w:after="60"/>
      <w:ind w:left="0"/>
      <w:jc w:val="left"/>
    </w:pPr>
    <w:rPr>
      <w:spacing w:val="-2"/>
      <w:sz w:val="24"/>
    </w:rPr>
  </w:style>
  <w:style w:type="paragraph" w:styleId="Textodeglobo">
    <w:name w:val="Balloon Text"/>
    <w:basedOn w:val="Normal"/>
    <w:semiHidden/>
    <w:rPr>
      <w:rFonts w:ascii="Tahoma" w:hAnsi="Tahoma" w:cs="Tahoma"/>
      <w:sz w:val="16"/>
      <w:szCs w:val="16"/>
    </w:rPr>
  </w:style>
  <w:style w:type="character" w:customStyle="1" w:styleId="Normal1Car">
    <w:name w:val="Normal1 Car"/>
    <w:rPr>
      <w:rFonts w:ascii="Garamond" w:hAnsi="Garamond"/>
      <w:sz w:val="24"/>
      <w:lang w:val="es-ES" w:eastAsia="es-ES" w:bidi="ar-SA"/>
    </w:rPr>
  </w:style>
  <w:style w:type="paragraph" w:customStyle="1" w:styleId="EstiloTtulo4">
    <w:name w:val="Estilo Título 4"/>
    <w:basedOn w:val="Ttulo4"/>
    <w:autoRedefine/>
    <w:pPr>
      <w:spacing w:before="120"/>
    </w:pPr>
    <w:rPr>
      <w:rFonts w:ascii="Arial" w:hAnsi="Arial"/>
      <w:b/>
    </w:rPr>
  </w:style>
  <w:style w:type="paragraph" w:customStyle="1" w:styleId="Bola2">
    <w:name w:val="Bola2"/>
    <w:basedOn w:val="Normal"/>
    <w:pPr>
      <w:spacing w:before="120" w:line="260" w:lineRule="exact"/>
      <w:ind w:left="2409" w:hanging="283"/>
    </w:pPr>
    <w:rPr>
      <w:rFonts w:ascii="Times" w:hAnsi="Times"/>
      <w:color w:val="000000"/>
      <w:kern w:val="22"/>
      <w:lang w:val="es-ES_tradnl"/>
    </w:rPr>
  </w:style>
  <w:style w:type="paragraph" w:customStyle="1" w:styleId="Bola3">
    <w:name w:val="Bola3"/>
    <w:basedOn w:val="Bola2"/>
  </w:style>
  <w:style w:type="paragraph" w:customStyle="1" w:styleId="Bola4">
    <w:name w:val="Bola4"/>
    <w:basedOn w:val="Bola3"/>
  </w:style>
  <w:style w:type="paragraph" w:customStyle="1" w:styleId="Bola5">
    <w:name w:val="Bola5"/>
    <w:basedOn w:val="Bola4"/>
  </w:style>
  <w:style w:type="paragraph" w:customStyle="1" w:styleId="Bola6">
    <w:name w:val="Bola6"/>
    <w:basedOn w:val="Bola5"/>
  </w:style>
  <w:style w:type="paragraph" w:customStyle="1" w:styleId="Bola7">
    <w:name w:val="Bola7"/>
    <w:basedOn w:val="Bola6"/>
  </w:style>
  <w:style w:type="paragraph" w:customStyle="1" w:styleId="Bola8">
    <w:name w:val="Bola8"/>
    <w:basedOn w:val="Bola7"/>
  </w:style>
  <w:style w:type="character" w:customStyle="1" w:styleId="Ttulo2Car">
    <w:name w:val="Título 2 Car"/>
    <w:aliases w:val="Portadilla 2 Car,h2 Car,2 Car,h21 Car,21 Car,titulo2 Car,Level 2 Topic Heading Car,H2 Car,DO NOT USE_h2 Car,chn Car,Chapter Number/Appendix Letter Car,H21 Car,H22 Car,Header 2 Car,CHS Car,H2-Heading 2 Car,l2 Car,Header2 Car,22 Car,list2 Car"/>
    <w:rPr>
      <w:rFonts w:ascii="TheSansCorrespondence" w:hAnsi="TheSansCorrespondence"/>
      <w:b/>
      <w:snapToGrid w:val="0"/>
      <w:sz w:val="24"/>
      <w:szCs w:val="24"/>
      <w:lang w:val="es-ES_tradnl" w:eastAsia="es-ES" w:bidi="ar-SA"/>
    </w:rPr>
  </w:style>
  <w:style w:type="paragraph" w:customStyle="1" w:styleId="xl28">
    <w:name w:val="xl28"/>
    <w:basedOn w:val="Normal"/>
    <w:pPr>
      <w:pBdr>
        <w:top w:val="single" w:sz="8" w:space="0" w:color="auto"/>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Sangradonivel1conbolo">
    <w:name w:val="Sangrado nivel 1 con bolo"/>
    <w:basedOn w:val="Normal"/>
    <w:pPr>
      <w:numPr>
        <w:numId w:val="14"/>
      </w:numPr>
      <w:tabs>
        <w:tab w:val="left" w:pos="709"/>
        <w:tab w:val="left" w:pos="1418"/>
        <w:tab w:val="left" w:pos="2126"/>
        <w:tab w:val="left" w:pos="2835"/>
        <w:tab w:val="left" w:pos="3544"/>
      </w:tabs>
      <w:spacing w:after="120"/>
      <w:ind w:left="811" w:hanging="357"/>
    </w:pPr>
    <w:rPr>
      <w:rFonts w:ascii="Arial" w:hAnsi="Arial"/>
      <w:sz w:val="24"/>
      <w:lang w:val="es-ES_tradnl"/>
    </w:rPr>
  </w:style>
  <w:style w:type="paragraph" w:customStyle="1" w:styleId="TEXTOTA">
    <w:name w:val="TEXTO_TA"/>
    <w:basedOn w:val="Normal"/>
    <w:pPr>
      <w:keepLines/>
      <w:spacing w:before="120" w:after="240"/>
      <w:ind w:left="0"/>
    </w:pPr>
    <w:rPr>
      <w:rFonts w:ascii="Arial" w:hAnsi="Arial"/>
      <w:lang w:val="es-ES_tradnl"/>
    </w:rPr>
  </w:style>
  <w:style w:type="paragraph" w:customStyle="1" w:styleId="tabla">
    <w:name w:val="tabla"/>
    <w:basedOn w:val="Normal"/>
    <w:pPr>
      <w:keepLines/>
      <w:ind w:left="0"/>
      <w:jc w:val="left"/>
    </w:pPr>
    <w:rPr>
      <w:rFonts w:ascii="Arial" w:hAnsi="Arial"/>
      <w:sz w:val="20"/>
      <w:lang w:val="es-ES_tradnl"/>
    </w:rPr>
  </w:style>
  <w:style w:type="paragraph" w:styleId="Prrafodelista">
    <w:name w:val="List Paragraph"/>
    <w:basedOn w:val="Normal"/>
    <w:qFormat/>
    <w:pPr>
      <w:ind w:left="708"/>
    </w:pPr>
  </w:style>
  <w:style w:type="paragraph" w:customStyle="1" w:styleId="xl24">
    <w:name w:val="xl24"/>
    <w:basedOn w:val="Normal"/>
    <w:pPr>
      <w:shd w:val="clear" w:color="auto" w:fill="FFFF00"/>
      <w:spacing w:before="100" w:beforeAutospacing="1" w:after="100" w:afterAutospacing="1"/>
      <w:ind w:left="0"/>
      <w:jc w:val="left"/>
    </w:pPr>
    <w:rPr>
      <w:rFonts w:ascii="Arial" w:eastAsia="Arial Unicode MS" w:hAnsi="Arial" w:cs="Arial"/>
      <w:b/>
      <w:bCs/>
      <w:sz w:val="16"/>
      <w:szCs w:val="16"/>
    </w:rPr>
  </w:style>
  <w:style w:type="paragraph" w:customStyle="1" w:styleId="xl25">
    <w:name w:val="xl25"/>
    <w:basedOn w:val="Normal"/>
    <w:pPr>
      <w:spacing w:before="100" w:beforeAutospacing="1" w:after="100" w:afterAutospacing="1"/>
      <w:ind w:left="0"/>
      <w:jc w:val="left"/>
    </w:pPr>
    <w:rPr>
      <w:rFonts w:ascii="Arial" w:eastAsia="Arial Unicode MS" w:hAnsi="Arial" w:cs="Arial"/>
      <w:sz w:val="16"/>
      <w:szCs w:val="16"/>
    </w:rPr>
  </w:style>
  <w:style w:type="paragraph" w:customStyle="1" w:styleId="xl26">
    <w:name w:val="xl26"/>
    <w:basedOn w:val="Normal"/>
    <w:pPr>
      <w:pBdr>
        <w:top w:val="single" w:sz="8" w:space="0" w:color="auto"/>
        <w:lef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27">
    <w:name w:val="xl27"/>
    <w:basedOn w:val="Normal"/>
    <w:pPr>
      <w:pBdr>
        <w:top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29">
    <w:name w:val="xl29"/>
    <w:basedOn w:val="Normal"/>
    <w:pPr>
      <w:pBdr>
        <w:lef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0">
    <w:name w:val="xl30"/>
    <w:basedOn w:val="Normal"/>
    <w:pPr>
      <w:pBdr>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1">
    <w:name w:val="xl31"/>
    <w:basedOn w:val="Normal"/>
    <w:pPr>
      <w:pBdr>
        <w:left w:val="single" w:sz="8" w:space="0" w:color="auto"/>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2">
    <w:name w:val="xl32"/>
    <w:basedOn w:val="Normal"/>
    <w:pPr>
      <w:pBdr>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3">
    <w:name w:val="xl33"/>
    <w:basedOn w:val="Normal"/>
    <w:pPr>
      <w:pBdr>
        <w:bottom w:val="single" w:sz="8" w:space="0" w:color="auto"/>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4">
    <w:name w:val="xl34"/>
    <w:basedOn w:val="Normal"/>
    <w:pPr>
      <w:pBdr>
        <w:top w:val="single" w:sz="8" w:space="0" w:color="auto"/>
        <w:left w:val="single" w:sz="8" w:space="0" w:color="auto"/>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5">
    <w:name w:val="xl35"/>
    <w:basedOn w:val="Normal"/>
    <w:pPr>
      <w:pBdr>
        <w:top w:val="single" w:sz="8" w:space="0" w:color="auto"/>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6">
    <w:name w:val="xl36"/>
    <w:basedOn w:val="Normal"/>
    <w:pPr>
      <w:pBdr>
        <w:top w:val="single" w:sz="8" w:space="0" w:color="auto"/>
        <w:bottom w:val="single" w:sz="8" w:space="0" w:color="auto"/>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7">
    <w:name w:val="xl37"/>
    <w:basedOn w:val="Normal"/>
    <w:pPr>
      <w:pBdr>
        <w:lef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38">
    <w:name w:val="xl38"/>
    <w:basedOn w:val="Normal"/>
    <w:pP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39">
    <w:name w:val="xl39"/>
    <w:basedOn w:val="Normal"/>
    <w:pPr>
      <w:pBdr>
        <w:righ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0">
    <w:name w:val="xl40"/>
    <w:basedOn w:val="Normal"/>
    <w:pPr>
      <w:pBdr>
        <w:top w:val="single" w:sz="8" w:space="0" w:color="auto"/>
        <w:lef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1">
    <w:name w:val="xl41"/>
    <w:basedOn w:val="Normal"/>
    <w:pPr>
      <w:pBdr>
        <w:top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2">
    <w:name w:val="xl42"/>
    <w:basedOn w:val="Normal"/>
    <w:pPr>
      <w:pBdr>
        <w:top w:val="single" w:sz="8" w:space="0" w:color="auto"/>
        <w:righ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3">
    <w:name w:val="xl43"/>
    <w:basedOn w:val="Normal"/>
    <w:pPr>
      <w:pBdr>
        <w:left w:val="single" w:sz="8" w:space="0" w:color="auto"/>
        <w:bottom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4">
    <w:name w:val="xl44"/>
    <w:basedOn w:val="Normal"/>
    <w:pPr>
      <w:pBdr>
        <w:bottom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5">
    <w:name w:val="xl45"/>
    <w:basedOn w:val="Normal"/>
    <w:pPr>
      <w:pBdr>
        <w:bottom w:val="single" w:sz="8" w:space="0" w:color="auto"/>
        <w:righ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6">
    <w:name w:val="xl46"/>
    <w:basedOn w:val="Normal"/>
    <w:pPr>
      <w:pBdr>
        <w:top w:val="single" w:sz="8" w:space="0" w:color="auto"/>
        <w:left w:val="single" w:sz="8" w:space="0" w:color="auto"/>
        <w:bottom w:val="single" w:sz="8" w:space="0" w:color="auto"/>
        <w:right w:val="single" w:sz="4" w:space="0" w:color="auto"/>
      </w:pBdr>
      <w:spacing w:before="100" w:beforeAutospacing="1" w:after="100" w:afterAutospacing="1"/>
      <w:ind w:left="0"/>
      <w:jc w:val="center"/>
      <w:textAlignment w:val="center"/>
    </w:pPr>
    <w:rPr>
      <w:rFonts w:ascii="Arial" w:eastAsia="Arial Unicode MS" w:hAnsi="Arial" w:cs="Arial"/>
      <w:sz w:val="16"/>
      <w:szCs w:val="16"/>
    </w:rPr>
  </w:style>
  <w:style w:type="paragraph" w:customStyle="1" w:styleId="xl47">
    <w:name w:val="xl47"/>
    <w:basedOn w:val="Normal"/>
    <w:pPr>
      <w:pBdr>
        <w:top w:val="single" w:sz="8" w:space="0" w:color="auto"/>
        <w:left w:val="single" w:sz="4" w:space="0" w:color="auto"/>
        <w:bottom w:val="single" w:sz="8" w:space="0" w:color="auto"/>
        <w:right w:val="single" w:sz="4" w:space="0" w:color="auto"/>
      </w:pBdr>
      <w:spacing w:before="100" w:beforeAutospacing="1" w:after="100" w:afterAutospacing="1"/>
      <w:ind w:left="0"/>
      <w:jc w:val="center"/>
      <w:textAlignment w:val="center"/>
    </w:pPr>
    <w:rPr>
      <w:rFonts w:ascii="Arial" w:eastAsia="Arial Unicode MS" w:hAnsi="Arial" w:cs="Arial"/>
      <w:sz w:val="16"/>
      <w:szCs w:val="16"/>
    </w:rPr>
  </w:style>
  <w:style w:type="paragraph" w:customStyle="1" w:styleId="xl48">
    <w:name w:val="xl48"/>
    <w:basedOn w:val="Normal"/>
    <w:pPr>
      <w:pBdr>
        <w:top w:val="single" w:sz="8" w:space="0" w:color="auto"/>
        <w:left w:val="single" w:sz="4" w:space="0" w:color="auto"/>
        <w:bottom w:val="single" w:sz="8" w:space="0" w:color="auto"/>
        <w:right w:val="single" w:sz="8" w:space="0" w:color="auto"/>
      </w:pBdr>
      <w:spacing w:before="100" w:beforeAutospacing="1" w:after="100" w:afterAutospacing="1"/>
      <w:ind w:left="0"/>
      <w:jc w:val="center"/>
      <w:textAlignment w:val="center"/>
    </w:pPr>
    <w:rPr>
      <w:rFonts w:ascii="Arial" w:eastAsia="Arial Unicode MS" w:hAnsi="Arial" w:cs="Arial"/>
      <w:sz w:val="16"/>
      <w:szCs w:val="16"/>
    </w:rPr>
  </w:style>
  <w:style w:type="paragraph" w:customStyle="1" w:styleId="xl49">
    <w:name w:val="xl49"/>
    <w:basedOn w:val="Normal"/>
    <w:pPr>
      <w:pBdr>
        <w:top w:val="single" w:sz="8" w:space="0" w:color="auto"/>
        <w:bottom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50">
    <w:name w:val="xl50"/>
    <w:basedOn w:val="Normal"/>
    <w:pPr>
      <w:shd w:val="clear" w:color="auto" w:fill="CCFFFF"/>
      <w:spacing w:before="100" w:beforeAutospacing="1" w:after="100" w:afterAutospacing="1"/>
      <w:ind w:left="0"/>
      <w:jc w:val="center"/>
    </w:pPr>
    <w:rPr>
      <w:rFonts w:ascii="Arial" w:eastAsia="Arial Unicode MS" w:hAnsi="Arial" w:cs="Arial"/>
      <w:sz w:val="16"/>
      <w:szCs w:val="16"/>
    </w:rPr>
  </w:style>
  <w:style w:type="paragraph" w:customStyle="1" w:styleId="xl51">
    <w:name w:val="xl51"/>
    <w:basedOn w:val="Normal"/>
    <w:pPr>
      <w:spacing w:before="100" w:beforeAutospacing="1" w:after="100" w:afterAutospacing="1"/>
      <w:ind w:left="0"/>
      <w:jc w:val="center"/>
    </w:pPr>
    <w:rPr>
      <w:rFonts w:ascii="Arial" w:eastAsia="Arial Unicode MS" w:hAnsi="Arial" w:cs="Arial"/>
      <w:sz w:val="16"/>
      <w:szCs w:val="16"/>
    </w:rPr>
  </w:style>
  <w:style w:type="paragraph" w:customStyle="1" w:styleId="xl52">
    <w:name w:val="xl52"/>
    <w:basedOn w:val="Normal"/>
    <w:pPr>
      <w:pBdr>
        <w:bottom w:val="single" w:sz="8" w:space="0" w:color="auto"/>
      </w:pBdr>
      <w:shd w:val="clear" w:color="auto" w:fill="CCFFFF"/>
      <w:spacing w:before="100" w:beforeAutospacing="1" w:after="100" w:afterAutospacing="1"/>
      <w:ind w:left="0"/>
      <w:jc w:val="center"/>
    </w:pPr>
    <w:rPr>
      <w:rFonts w:ascii="Arial" w:eastAsia="Arial Unicode MS" w:hAnsi="Arial" w:cs="Arial"/>
      <w:sz w:val="16"/>
      <w:szCs w:val="16"/>
    </w:rPr>
  </w:style>
  <w:style w:type="paragraph" w:customStyle="1" w:styleId="xl53">
    <w:name w:val="xl53"/>
    <w:basedOn w:val="Normal"/>
    <w:pPr>
      <w:pBdr>
        <w:top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54">
    <w:name w:val="xl54"/>
    <w:basedOn w:val="Normal"/>
    <w:pPr>
      <w:pBdr>
        <w:top w:val="single" w:sz="8" w:space="0" w:color="auto"/>
      </w:pBdr>
      <w:shd w:val="clear" w:color="auto" w:fill="CCFFFF"/>
      <w:spacing w:before="100" w:beforeAutospacing="1" w:after="100" w:afterAutospacing="1"/>
      <w:ind w:left="0"/>
      <w:jc w:val="center"/>
    </w:pPr>
    <w:rPr>
      <w:rFonts w:ascii="Arial" w:eastAsia="Arial Unicode MS" w:hAnsi="Arial" w:cs="Arial"/>
      <w:sz w:val="16"/>
      <w:szCs w:val="16"/>
    </w:rPr>
  </w:style>
  <w:style w:type="paragraph" w:customStyle="1" w:styleId="xl55">
    <w:name w:val="xl55"/>
    <w:basedOn w:val="Normal"/>
    <w:pPr>
      <w:pBdr>
        <w:bottom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Figura">
    <w:name w:val="Figura"/>
    <w:basedOn w:val="Normal"/>
    <w:next w:val="Normal"/>
    <w:autoRedefine/>
    <w:pPr>
      <w:numPr>
        <w:numId w:val="22"/>
      </w:numPr>
      <w:spacing w:after="120"/>
      <w:jc w:val="center"/>
    </w:pPr>
    <w:rPr>
      <w:rFonts w:ascii="Arial" w:hAnsi="Arial"/>
      <w:lang w:val="es-ES_tradnl"/>
    </w:rPr>
  </w:style>
  <w:style w:type="paragraph" w:customStyle="1" w:styleId="EstiloTtulo1">
    <w:name w:val="Estilo Título 1"/>
    <w:basedOn w:val="Ttulo1"/>
    <w:pPr>
      <w:spacing w:before="60" w:after="60"/>
      <w:ind w:left="432"/>
    </w:pPr>
    <w:rPr>
      <w:bCs/>
      <w:lang w:val="es-ES"/>
    </w:rPr>
  </w:style>
  <w:style w:type="paragraph" w:customStyle="1" w:styleId="EstiloTitulo2">
    <w:name w:val="Estilo Titulo 2"/>
    <w:basedOn w:val="Ttulo2"/>
    <w:autoRedefine/>
    <w:rsid w:val="006B5381"/>
    <w:pPr>
      <w:keepNext/>
      <w:tabs>
        <w:tab w:val="clear" w:pos="84"/>
        <w:tab w:val="clear" w:pos="873"/>
        <w:tab w:val="num" w:pos="-62"/>
      </w:tabs>
      <w:spacing w:before="60" w:after="60"/>
      <w:ind w:left="431" w:hanging="431"/>
    </w:pPr>
  </w:style>
  <w:style w:type="paragraph" w:customStyle="1" w:styleId="EstiloTtulo3">
    <w:name w:val="Estilo Título 3"/>
    <w:basedOn w:val="Ttulo3"/>
    <w:autoRedefine/>
    <w:rsid w:val="00AF32C8"/>
    <w:pPr>
      <w:keepNext/>
      <w:numPr>
        <w:ilvl w:val="0"/>
        <w:numId w:val="0"/>
      </w:numPr>
      <w:spacing w:before="240"/>
    </w:pPr>
    <w:rPr>
      <w:rFonts w:ascii="Arial" w:hAnsi="Arial" w:cs="Arial"/>
      <w:lang w:val="es-ES"/>
    </w:rPr>
  </w:style>
  <w:style w:type="paragraph" w:customStyle="1" w:styleId="CMTtextobase">
    <w:name w:val="CMT_texto_base"/>
    <w:basedOn w:val="Normal"/>
    <w:link w:val="CMTtextobaseCarCar"/>
    <w:rsid w:val="00DE1872"/>
    <w:pPr>
      <w:spacing w:after="140" w:line="280" w:lineRule="exact"/>
      <w:ind w:left="0"/>
    </w:pPr>
    <w:rPr>
      <w:rFonts w:ascii="Arial" w:hAnsi="Arial"/>
      <w:lang w:eastAsia="ca-ES"/>
    </w:rPr>
  </w:style>
  <w:style w:type="character" w:customStyle="1" w:styleId="CMTtextobaseCarCar">
    <w:name w:val="CMT_texto_base Car Car"/>
    <w:link w:val="CMTtextobase"/>
    <w:rsid w:val="00DE1872"/>
    <w:rPr>
      <w:rFonts w:ascii="Arial" w:hAnsi="Arial"/>
      <w:sz w:val="22"/>
      <w:lang w:val="es-ES" w:eastAsia="ca-ES" w:bidi="ar-SA"/>
    </w:rPr>
  </w:style>
  <w:style w:type="table" w:styleId="Tablaconcuadrcula">
    <w:name w:val="Table Grid"/>
    <w:basedOn w:val="Tablanormal"/>
    <w:rsid w:val="00007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Tnotapie">
    <w:name w:val="CMT nota pie"/>
    <w:basedOn w:val="Textonotapie"/>
    <w:link w:val="CMTnotapieCar"/>
    <w:rsid w:val="00BD1B9E"/>
    <w:pPr>
      <w:spacing w:after="120"/>
      <w:ind w:left="0"/>
    </w:pPr>
    <w:rPr>
      <w:rFonts w:ascii="Arial" w:hAnsi="Arial"/>
      <w:sz w:val="16"/>
      <w:szCs w:val="18"/>
    </w:rPr>
  </w:style>
  <w:style w:type="character" w:customStyle="1" w:styleId="CMTnotapieCar">
    <w:name w:val="CMT nota pie Car"/>
    <w:link w:val="CMTnotapie"/>
    <w:rsid w:val="00BD1B9E"/>
    <w:rPr>
      <w:rFonts w:ascii="Arial" w:hAnsi="Arial"/>
      <w:sz w:val="16"/>
      <w:szCs w:val="18"/>
      <w:lang w:val="es-ES" w:eastAsia="es-ES" w:bidi="ar-SA"/>
    </w:rPr>
  </w:style>
  <w:style w:type="paragraph" w:customStyle="1" w:styleId="FirmaElectrnica">
    <w:name w:val="Firma_Electrónica"/>
    <w:basedOn w:val="Textobaseresolucion"/>
    <w:rsid w:val="00F36730"/>
    <w:pPr>
      <w:spacing w:before="600"/>
    </w:pPr>
    <w:rPr>
      <w:b/>
      <w:i/>
      <w:sz w:val="24"/>
      <w:szCs w:val="24"/>
    </w:rPr>
  </w:style>
  <w:style w:type="character" w:customStyle="1" w:styleId="TextobaseresolucionCar">
    <w:name w:val="Texto_base_resolucion Car"/>
    <w:link w:val="Textobaseresolucion"/>
    <w:rsid w:val="00F36730"/>
    <w:rPr>
      <w:rFonts w:ascii="Arial" w:hAnsi="Arial" w:cs="Arial"/>
      <w:sz w:val="22"/>
      <w:szCs w:val="22"/>
      <w:lang w:val="es-ES_tradnl" w:eastAsia="es-ES" w:bidi="ar-SA"/>
    </w:rPr>
  </w:style>
  <w:style w:type="paragraph" w:customStyle="1" w:styleId="Textobaseresolucion">
    <w:name w:val="Texto_base_resolucion"/>
    <w:basedOn w:val="Normal"/>
    <w:link w:val="TextobaseresolucionCar"/>
    <w:autoRedefine/>
    <w:rsid w:val="00F36730"/>
    <w:pPr>
      <w:autoSpaceDE w:val="0"/>
      <w:autoSpaceDN w:val="0"/>
      <w:adjustRightInd w:val="0"/>
      <w:spacing w:after="140"/>
      <w:ind w:left="0"/>
    </w:pPr>
    <w:rPr>
      <w:rFonts w:ascii="Arial" w:hAnsi="Arial" w:cs="Arial"/>
      <w:szCs w:val="22"/>
      <w:lang w:val="es-ES_tradnl"/>
    </w:rPr>
  </w:style>
  <w:style w:type="character" w:customStyle="1" w:styleId="FontStyle15">
    <w:name w:val="Font Style15"/>
    <w:uiPriority w:val="99"/>
    <w:rsid w:val="004E4B77"/>
    <w:rPr>
      <w:rFonts w:ascii="Arial Unicode MS" w:eastAsia="Arial Unicode MS" w:cs="Arial Unicode MS"/>
      <w:sz w:val="18"/>
      <w:szCs w:val="18"/>
    </w:rPr>
  </w:style>
  <w:style w:type="paragraph" w:styleId="Revisin">
    <w:name w:val="Revision"/>
    <w:hidden/>
    <w:uiPriority w:val="99"/>
    <w:semiHidden/>
    <w:rsid w:val="002F7496"/>
    <w:rPr>
      <w:rFonts w:ascii="Garamond" w:hAnsi="Garamond"/>
      <w:sz w:val="22"/>
    </w:rPr>
  </w:style>
  <w:style w:type="character" w:customStyle="1" w:styleId="TextonotapieCar">
    <w:name w:val="Texto nota pie Car"/>
    <w:aliases w:val="Nota al pie Car,Texto nota pie Car2 Car,Texto nota pie Car1 Car Car,Texto nota pie Car Car Car Car,Texto nota pie Car Car1 Car,Texto nota pie Car2 Car Car1 Car,Texto nota pie Car1 Car Car Car1 Car,Texto nota pie Car Car1 Car Car Car"/>
    <w:link w:val="Textonotapie"/>
    <w:rsid w:val="002D7540"/>
    <w:rPr>
      <w:rFonts w:ascii="Garamond" w:hAnsi="Garamond"/>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873"/>
      <w:jc w:val="both"/>
    </w:pPr>
    <w:rPr>
      <w:rFonts w:ascii="Garamond" w:hAnsi="Garamond"/>
      <w:sz w:val="22"/>
    </w:rPr>
  </w:style>
  <w:style w:type="paragraph" w:styleId="Ttulo1">
    <w:name w:val="heading 1"/>
    <w:aliases w:val="Portadilla,Heading 0,H1,h1,L1,Heading 01,Level 1 Topic Heading,Header 1,ITT t1,PA Chapter,TE,Livello 1,Heading A,hoofdstuk 1,H1-Heading 1,Legal Line 1,head 1,II+,I,Heading1,a,1st level,l1,textst level,Heading No. L1,list 1,heading 1,H11,H12,H13"/>
    <w:basedOn w:val="Normal"/>
    <w:next w:val="Normal"/>
    <w:qFormat/>
    <w:pPr>
      <w:numPr>
        <w:numId w:val="21"/>
      </w:numPr>
      <w:shd w:val="clear" w:color="auto" w:fill="3366FF"/>
      <w:spacing w:before="240"/>
      <w:jc w:val="left"/>
      <w:outlineLvl w:val="0"/>
    </w:pPr>
    <w:rPr>
      <w:rFonts w:ascii="TheSansCorrespondence" w:hAnsi="TheSansCorrespondence"/>
      <w:b/>
      <w:caps/>
      <w:snapToGrid w:val="0"/>
      <w:color w:val="FFFFFF"/>
      <w:sz w:val="28"/>
      <w:szCs w:val="28"/>
      <w:lang w:val="es-ES_tradnl"/>
    </w:rPr>
  </w:style>
  <w:style w:type="paragraph" w:styleId="Ttulo2">
    <w:name w:val="heading 2"/>
    <w:aliases w:val="Portadilla 2,h2,L2,H2,2,h21,21,titulo2,Level 2 Topic Heading,DO NOT USE_h2,chn,Chapter Number/Appendix Letter,H21,H22,Header 2,CHS,H2-Heading 2,l2,Header2,22,heading2,list2,A,A.B.C.,list 2,Heading2,Heading Indent No L2,Heading 2 Hidden,o"/>
    <w:basedOn w:val="Normal"/>
    <w:next w:val="Normal"/>
    <w:qFormat/>
    <w:pPr>
      <w:numPr>
        <w:ilvl w:val="1"/>
        <w:numId w:val="21"/>
      </w:numPr>
      <w:shd w:val="clear" w:color="auto" w:fill="00FF00"/>
      <w:tabs>
        <w:tab w:val="left" w:pos="873"/>
      </w:tabs>
      <w:outlineLvl w:val="1"/>
    </w:pPr>
    <w:rPr>
      <w:rFonts w:ascii="TheSansCorrespondence" w:hAnsi="TheSansCorrespondence"/>
      <w:b/>
      <w:snapToGrid w:val="0"/>
      <w:sz w:val="24"/>
      <w:szCs w:val="24"/>
      <w:lang w:val="es-ES_tradnl"/>
    </w:rPr>
  </w:style>
  <w:style w:type="paragraph" w:styleId="Ttulo3">
    <w:name w:val="heading 3"/>
    <w:aliases w:val="Portadilla 3,L3,h3,Level 3 Topic Heading,H31,H32,3,Bold Head,bh,H3-Heading 3,l3.3,l3,Titre 3,Map,HeadC,H3,CT,Heading3,list 3,list3,subhead,1.,Heading No. L3,heading 3,ITT t3,PA Minor Section,l31,CT1,l32,nms SubSect1,h31,h32,h311,h33,h34,h35"/>
    <w:basedOn w:val="Normal"/>
    <w:next w:val="Normal"/>
    <w:qFormat/>
    <w:pPr>
      <w:numPr>
        <w:ilvl w:val="2"/>
        <w:numId w:val="21"/>
      </w:numPr>
      <w:tabs>
        <w:tab w:val="clear" w:pos="720"/>
        <w:tab w:val="num" w:pos="228"/>
      </w:tabs>
      <w:ind w:left="228"/>
      <w:outlineLvl w:val="2"/>
    </w:pPr>
    <w:rPr>
      <w:b/>
      <w:i/>
      <w:lang w:val="es-ES_tradnl"/>
    </w:rPr>
  </w:style>
  <w:style w:type="paragraph" w:styleId="Ttulo4">
    <w:name w:val="heading 4"/>
    <w:aliases w:val="Título INDICE,h4,First Subheading,4,H4"/>
    <w:basedOn w:val="Normal"/>
    <w:next w:val="Normal"/>
    <w:qFormat/>
    <w:pPr>
      <w:keepNext/>
      <w:numPr>
        <w:ilvl w:val="3"/>
        <w:numId w:val="21"/>
      </w:numPr>
      <w:spacing w:line="240" w:lineRule="atLeast"/>
      <w:outlineLvl w:val="3"/>
    </w:pPr>
    <w:rPr>
      <w:snapToGrid w:val="0"/>
    </w:rPr>
  </w:style>
  <w:style w:type="paragraph" w:styleId="Ttulo5">
    <w:name w:val="heading 5"/>
    <w:aliases w:val="1,h5,Second Subheading,H5,5"/>
    <w:basedOn w:val="Normal"/>
    <w:next w:val="Normal"/>
    <w:qFormat/>
    <w:pPr>
      <w:numPr>
        <w:ilvl w:val="4"/>
        <w:numId w:val="21"/>
      </w:numPr>
      <w:outlineLvl w:val="4"/>
    </w:pPr>
    <w:rPr>
      <w:i/>
      <w:lang w:val="es-ES_tradnl"/>
    </w:rPr>
  </w:style>
  <w:style w:type="paragraph" w:styleId="Ttulo6">
    <w:name w:val="heading 6"/>
    <w:basedOn w:val="Normal"/>
    <w:next w:val="Normal"/>
    <w:qFormat/>
    <w:pPr>
      <w:numPr>
        <w:ilvl w:val="5"/>
        <w:numId w:val="21"/>
      </w:numPr>
      <w:spacing w:before="240" w:after="60"/>
      <w:outlineLvl w:val="5"/>
    </w:pPr>
    <w:rPr>
      <w:rFonts w:ascii="Arial" w:hAnsi="Arial"/>
      <w:i/>
      <w:lang w:val="es-ES_tradnl"/>
    </w:rPr>
  </w:style>
  <w:style w:type="paragraph" w:styleId="Ttulo7">
    <w:name w:val="heading 7"/>
    <w:basedOn w:val="Normal"/>
    <w:next w:val="Normal"/>
    <w:qFormat/>
    <w:pPr>
      <w:numPr>
        <w:ilvl w:val="6"/>
        <w:numId w:val="21"/>
      </w:numPr>
      <w:spacing w:before="240" w:after="60"/>
      <w:outlineLvl w:val="6"/>
    </w:pPr>
    <w:rPr>
      <w:rFonts w:ascii="Arial" w:hAnsi="Arial"/>
      <w:lang w:val="es-ES_tradnl"/>
    </w:rPr>
  </w:style>
  <w:style w:type="paragraph" w:styleId="Ttulo8">
    <w:name w:val="heading 8"/>
    <w:basedOn w:val="Normal"/>
    <w:next w:val="Normal"/>
    <w:qFormat/>
    <w:pPr>
      <w:numPr>
        <w:ilvl w:val="7"/>
        <w:numId w:val="21"/>
      </w:numPr>
      <w:spacing w:before="240" w:after="60"/>
      <w:outlineLvl w:val="7"/>
    </w:pPr>
    <w:rPr>
      <w:rFonts w:ascii="Arial" w:hAnsi="Arial"/>
      <w:i/>
      <w:lang w:val="es-ES_tradnl"/>
    </w:rPr>
  </w:style>
  <w:style w:type="paragraph" w:styleId="Ttulo9">
    <w:name w:val="heading 9"/>
    <w:basedOn w:val="Normal"/>
    <w:next w:val="Normal"/>
    <w:qFormat/>
    <w:pPr>
      <w:numPr>
        <w:ilvl w:val="8"/>
        <w:numId w:val="21"/>
      </w:numPr>
      <w:spacing w:before="240" w:after="60"/>
      <w:outlineLvl w:val="8"/>
    </w:pPr>
    <w:rPr>
      <w:rFonts w:ascii="Arial" w:hAnsi="Arial"/>
      <w:i/>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ITT i"/>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aliases w:val="AvtalBrödtext,Bodytext,ändrad,Body3, ändrad,AvtalBrodtext,andrad,Requirements,EHPT,Body Text2,à¹×éÍàÃ×èÍ§,Body Text ,Body Text level 1,Response,paragraph 2,body indent,compact,bt,- TF,Block text,body text,sp,sbs,block text,bt4,bt5"/>
    <w:basedOn w:val="Normal"/>
    <w:rPr>
      <w:sz w:val="24"/>
      <w:lang w:val="es-ES_tradnl"/>
    </w:rPr>
  </w:style>
  <w:style w:type="character" w:styleId="Nmerodepgina">
    <w:name w:val="page number"/>
    <w:basedOn w:val="Fuentedeprrafopredeter"/>
  </w:style>
  <w:style w:type="paragraph" w:styleId="TDC1">
    <w:name w:val="toc 1"/>
    <w:basedOn w:val="Normal"/>
    <w:next w:val="Normal"/>
    <w:autoRedefine/>
    <w:uiPriority w:val="39"/>
    <w:pPr>
      <w:tabs>
        <w:tab w:val="left" w:pos="403"/>
        <w:tab w:val="right" w:leader="dot" w:pos="10206"/>
      </w:tabs>
      <w:spacing w:after="120"/>
      <w:ind w:left="0"/>
    </w:pPr>
    <w:rPr>
      <w:b/>
      <w:i/>
      <w:caps/>
      <w:noProof/>
    </w:rPr>
  </w:style>
  <w:style w:type="paragraph" w:styleId="TDC2">
    <w:name w:val="toc 2"/>
    <w:basedOn w:val="Normal"/>
    <w:next w:val="Normal"/>
    <w:autoRedefine/>
    <w:uiPriority w:val="39"/>
    <w:pPr>
      <w:tabs>
        <w:tab w:val="left" w:pos="660"/>
        <w:tab w:val="left" w:pos="880"/>
        <w:tab w:val="right" w:leader="dot" w:pos="10206"/>
      </w:tabs>
      <w:ind w:left="198"/>
    </w:pPr>
    <w:rPr>
      <w:smallCaps/>
      <w:noProof/>
    </w:rPr>
  </w:style>
  <w:style w:type="paragraph" w:styleId="TDC3">
    <w:name w:val="toc 3"/>
    <w:basedOn w:val="Normal"/>
    <w:next w:val="Normal"/>
    <w:autoRedefine/>
    <w:uiPriority w:val="39"/>
    <w:pPr>
      <w:tabs>
        <w:tab w:val="left" w:pos="1100"/>
        <w:tab w:val="right" w:leader="dot" w:pos="10206"/>
      </w:tabs>
      <w:ind w:left="403"/>
    </w:pPr>
    <w:rPr>
      <w:i/>
      <w:noProof/>
    </w:rPr>
  </w:style>
  <w:style w:type="paragraph" w:customStyle="1" w:styleId="Texto">
    <w:name w:val="Texto"/>
    <w:semiHidden/>
    <w:pPr>
      <w:spacing w:before="120" w:line="260" w:lineRule="exact"/>
      <w:ind w:left="851"/>
      <w:jc w:val="both"/>
    </w:pPr>
    <w:rPr>
      <w:rFonts w:ascii="Times" w:hAnsi="Times"/>
      <w:color w:val="000000"/>
      <w:sz w:val="22"/>
      <w:lang w:val="es-ES_tradnl"/>
    </w:rPr>
  </w:style>
  <w:style w:type="paragraph" w:customStyle="1" w:styleId="Sangra2detindependiente1">
    <w:name w:val="Sangría 2 de t. independiente1"/>
    <w:basedOn w:val="Normal"/>
    <w:semiHidden/>
    <w:pPr>
      <w:widowControl w:val="0"/>
      <w:spacing w:after="120"/>
      <w:ind w:left="360"/>
    </w:pPr>
    <w:rPr>
      <w:rFonts w:ascii="Book Antiqua" w:hAnsi="Book Antiqua"/>
    </w:rPr>
  </w:style>
  <w:style w:type="paragraph" w:customStyle="1" w:styleId="Encabezadoh">
    <w:name w:val="Encabezado.h"/>
    <w:basedOn w:val="Normal"/>
    <w:semiHidden/>
    <w:pPr>
      <w:widowControl w:val="0"/>
      <w:tabs>
        <w:tab w:val="center" w:pos="4819"/>
        <w:tab w:val="right" w:pos="9071"/>
      </w:tabs>
      <w:spacing w:after="120"/>
    </w:pPr>
    <w:rPr>
      <w:rFonts w:ascii="Book Antiqua" w:hAnsi="Book Antiqua"/>
    </w:rPr>
  </w:style>
  <w:style w:type="paragraph" w:styleId="Ttulodendice">
    <w:name w:val="index heading"/>
    <w:basedOn w:val="Normal"/>
    <w:next w:val="ndice1"/>
    <w:semiHidden/>
  </w:style>
  <w:style w:type="paragraph" w:styleId="ndice1">
    <w:name w:val="index 1"/>
    <w:basedOn w:val="Normal"/>
    <w:next w:val="Normal"/>
    <w:autoRedefine/>
    <w:semiHidden/>
    <w:pPr>
      <w:ind w:left="851" w:hanging="567"/>
      <w:jc w:val="left"/>
    </w:pPr>
  </w:style>
  <w:style w:type="paragraph" w:customStyle="1" w:styleId="PiePgNew">
    <w:name w:val="PiePágNew"/>
    <w:semiHidden/>
    <w:pPr>
      <w:spacing w:after="60" w:line="260" w:lineRule="exact"/>
    </w:pPr>
    <w:rPr>
      <w:rFonts w:ascii="Times" w:hAnsi="Times"/>
      <w:sz w:val="22"/>
      <w:lang w:val="es-ES_tradnl"/>
    </w:rPr>
  </w:style>
  <w:style w:type="paragraph" w:styleId="Sangra3detindependiente">
    <w:name w:val="Body Text Indent 3"/>
    <w:basedOn w:val="Normal"/>
    <w:pPr>
      <w:ind w:left="708"/>
    </w:pPr>
  </w:style>
  <w:style w:type="paragraph" w:styleId="Sangra2detindependiente">
    <w:name w:val="Body Text Indent 2"/>
    <w:basedOn w:val="Normal"/>
    <w:pPr>
      <w:ind w:left="576"/>
    </w:pPr>
  </w:style>
  <w:style w:type="paragraph" w:styleId="Textoindependiente3">
    <w:name w:val="Body Text 3"/>
    <w:basedOn w:val="Normal"/>
    <w:pPr>
      <w:spacing w:before="120" w:after="120"/>
    </w:pPr>
  </w:style>
  <w:style w:type="paragraph" w:styleId="Sangradetextonormal">
    <w:name w:val="Body Text Indent"/>
    <w:basedOn w:val="Normal"/>
    <w:pPr>
      <w:ind w:left="708"/>
    </w:pPr>
  </w:style>
  <w:style w:type="paragraph" w:styleId="Textodebloque">
    <w:name w:val="Block Text"/>
    <w:basedOn w:val="Normal"/>
    <w:pPr>
      <w:spacing w:line="240" w:lineRule="atLeast"/>
      <w:ind w:left="969" w:right="1701"/>
    </w:pPr>
    <w:rPr>
      <w:rFonts w:ascii="Arial" w:hAnsi="Arial"/>
      <w:snapToGrid w:val="0"/>
      <w:color w:val="000000"/>
      <w:sz w:val="24"/>
    </w:rPr>
  </w:style>
  <w:style w:type="character" w:styleId="Hipervnculo">
    <w:name w:val="Hyperlink"/>
    <w:uiPriority w:val="99"/>
    <w:rPr>
      <w:color w:val="0000FF"/>
      <w:u w:val="single"/>
    </w:rPr>
  </w:style>
  <w:style w:type="paragraph" w:customStyle="1" w:styleId="CellBody">
    <w:name w:val="CellBody"/>
    <w:semiHidden/>
    <w:pPr>
      <w:spacing w:before="120" w:after="80" w:line="260" w:lineRule="exact"/>
      <w:jc w:val="both"/>
    </w:pPr>
    <w:rPr>
      <w:rFonts w:ascii="Times" w:hAnsi="Times"/>
      <w:color w:val="000000"/>
      <w:sz w:val="22"/>
      <w:lang w:val="es-ES_tradnl"/>
    </w:rPr>
  </w:style>
  <w:style w:type="character" w:customStyle="1" w:styleId="carac-ttulo1">
    <w:name w:val="carac-título1"/>
    <w:basedOn w:val="Fuentedeprrafopredeter"/>
    <w:semiHidden/>
  </w:style>
  <w:style w:type="paragraph" w:customStyle="1" w:styleId="CellHeading">
    <w:name w:val="CellHeading"/>
    <w:semiHidden/>
    <w:pPr>
      <w:spacing w:before="120" w:after="80" w:line="260" w:lineRule="exact"/>
      <w:jc w:val="center"/>
    </w:pPr>
    <w:rPr>
      <w:rFonts w:ascii="Times" w:hAnsi="Times"/>
      <w:b/>
      <w:color w:val="000000"/>
      <w:sz w:val="22"/>
      <w:lang w:val="es-ES_tradnl"/>
    </w:rPr>
  </w:style>
  <w:style w:type="paragraph" w:customStyle="1" w:styleId="Bola">
    <w:name w:val="Bola"/>
    <w:semiHidden/>
    <w:pPr>
      <w:tabs>
        <w:tab w:val="left" w:pos="1247"/>
      </w:tabs>
      <w:spacing w:before="120" w:line="260" w:lineRule="exact"/>
      <w:ind w:left="1248" w:hanging="397"/>
      <w:jc w:val="both"/>
    </w:pPr>
    <w:rPr>
      <w:rFonts w:ascii="Times" w:hAnsi="Times"/>
      <w:color w:val="000000"/>
      <w:sz w:val="22"/>
      <w:lang w:val="es-ES_tradnl"/>
    </w:rPr>
  </w:style>
  <w:style w:type="paragraph" w:styleId="Textoindependiente2">
    <w:name w:val="Body Text 2"/>
    <w:basedOn w:val="Normal"/>
    <w:rPr>
      <w:b/>
    </w:rPr>
  </w:style>
  <w:style w:type="paragraph" w:styleId="Ttulo">
    <w:name w:val="Title"/>
    <w:basedOn w:val="Normal"/>
    <w:qFormat/>
    <w:pPr>
      <w:jc w:val="center"/>
    </w:pPr>
    <w:rPr>
      <w:rFonts w:ascii="TheSansCorrespondence" w:hAnsi="TheSansCorrespondence"/>
      <w:b/>
      <w:sz w:val="24"/>
      <w:szCs w:val="24"/>
      <w:u w:val="single"/>
    </w:rPr>
  </w:style>
  <w:style w:type="paragraph" w:styleId="Textocomentario">
    <w:name w:val="annotation text"/>
    <w:basedOn w:val="Normal"/>
    <w:semiHidden/>
    <w:pPr>
      <w:spacing w:before="40" w:after="120"/>
    </w:pPr>
    <w:rPr>
      <w:rFonts w:ascii="Helvetica" w:hAnsi="Helvetica"/>
      <w:lang w:val="es-ES_tradnl"/>
    </w:rPr>
  </w:style>
  <w:style w:type="paragraph" w:styleId="Mapadeldocumento">
    <w:name w:val="Document Map"/>
    <w:basedOn w:val="Normal"/>
    <w:semiHidden/>
    <w:pPr>
      <w:shd w:val="clear" w:color="auto" w:fill="000080"/>
    </w:pPr>
    <w:rPr>
      <w:rFonts w:ascii="Tahoma" w:hAnsi="Tahoma"/>
      <w:sz w:val="18"/>
    </w:rPr>
  </w:style>
  <w:style w:type="paragraph" w:styleId="ndice3">
    <w:name w:val="index 3"/>
    <w:basedOn w:val="Normal"/>
    <w:next w:val="Normal"/>
    <w:autoRedefine/>
    <w:semiHidden/>
    <w:pPr>
      <w:ind w:left="660" w:hanging="220"/>
    </w:pPr>
    <w:rPr>
      <w:rFonts w:ascii="Book Antiqua" w:hAnsi="Book Antiqua"/>
      <w:lang w:val="es-ES_tradnl"/>
    </w:rPr>
  </w:style>
  <w:style w:type="paragraph" w:styleId="Textonotapie">
    <w:name w:val="footnote text"/>
    <w:aliases w:val="Nota al pie,Texto nota pie Car2,Texto nota pie Car1 Car,Texto nota pie Car Car Car,Texto nota pie Car Car1,Texto nota pie Car2 Car Car1,Texto nota pie Car1 Car Car Car1,Texto nota pie Car Car Car Car Car1,Texto nota pie Car Car1 Car Car"/>
    <w:basedOn w:val="Normal"/>
    <w:link w:val="TextonotapieCar"/>
    <w:rsid w:val="00480D6B"/>
    <w:rPr>
      <w:sz w:val="18"/>
    </w:rPr>
  </w:style>
  <w:style w:type="paragraph" w:customStyle="1" w:styleId="NotaaPiedePgina">
    <w:name w:val="Nota a Pie de Página"/>
    <w:basedOn w:val="Normal"/>
    <w:pPr>
      <w:tabs>
        <w:tab w:val="left" w:pos="993"/>
      </w:tabs>
      <w:ind w:left="993" w:hanging="142"/>
    </w:pPr>
    <w:rPr>
      <w:sz w:val="18"/>
    </w:rPr>
  </w:style>
  <w:style w:type="paragraph" w:customStyle="1" w:styleId="Logo">
    <w:name w:val="Logo"/>
    <w:basedOn w:val="Normal"/>
    <w:next w:val="Normal"/>
    <w:semiHidden/>
    <w:pPr>
      <w:widowControl w:val="0"/>
      <w:tabs>
        <w:tab w:val="left" w:pos="709"/>
        <w:tab w:val="left" w:pos="1418"/>
        <w:tab w:val="left" w:pos="2126"/>
        <w:tab w:val="left" w:pos="2835"/>
        <w:tab w:val="left" w:pos="3544"/>
      </w:tabs>
      <w:spacing w:after="120"/>
    </w:pPr>
    <w:rPr>
      <w:rFonts w:ascii="Arial" w:hAnsi="Arial"/>
      <w:sz w:val="24"/>
      <w:lang w:val="es-ES_tradnl"/>
    </w:rPr>
  </w:style>
  <w:style w:type="paragraph" w:customStyle="1" w:styleId="RF">
    <w:name w:val="RF"/>
    <w:basedOn w:val="Normal"/>
    <w:semiHidden/>
    <w:pPr>
      <w:tabs>
        <w:tab w:val="num" w:pos="360"/>
      </w:tabs>
      <w:spacing w:after="60"/>
      <w:ind w:left="360" w:hanging="360"/>
    </w:pPr>
    <w:rPr>
      <w:sz w:val="24"/>
    </w:rPr>
  </w:style>
  <w:style w:type="paragraph" w:customStyle="1" w:styleId="temas">
    <w:name w:val="temas"/>
    <w:basedOn w:val="Normal"/>
    <w:semiHidden/>
    <w:pPr>
      <w:widowControl w:val="0"/>
      <w:suppressAutoHyphens/>
      <w:spacing w:before="120"/>
    </w:pPr>
    <w:rPr>
      <w:rFonts w:ascii="Arial" w:hAnsi="Arial"/>
      <w:lang w:val="es-ES_tradnl"/>
    </w:rPr>
  </w:style>
  <w:style w:type="character" w:styleId="Refdecomentario">
    <w:name w:val="annotation reference"/>
    <w:semiHidden/>
    <w:rPr>
      <w:sz w:val="16"/>
    </w:rPr>
  </w:style>
  <w:style w:type="paragraph" w:customStyle="1" w:styleId="Apendice1">
    <w:name w:val="Apendice 1"/>
    <w:basedOn w:val="Normal"/>
    <w:next w:val="Normal"/>
    <w:autoRedefine/>
    <w:semiHidden/>
    <w:pPr>
      <w:numPr>
        <w:numId w:val="1"/>
      </w:numPr>
      <w:spacing w:after="120"/>
      <w:outlineLvl w:val="0"/>
    </w:pPr>
    <w:rPr>
      <w:b/>
      <w:caps/>
      <w:color w:val="000080"/>
    </w:rPr>
  </w:style>
  <w:style w:type="paragraph" w:customStyle="1" w:styleId="Apendice2">
    <w:name w:val="Apendice 2"/>
    <w:basedOn w:val="Normal"/>
    <w:next w:val="Normal"/>
    <w:autoRedefine/>
    <w:semiHidden/>
    <w:pPr>
      <w:numPr>
        <w:ilvl w:val="1"/>
        <w:numId w:val="1"/>
      </w:numPr>
      <w:spacing w:after="60"/>
      <w:outlineLvl w:val="1"/>
    </w:pPr>
    <w:rPr>
      <w:b/>
      <w:i/>
      <w:color w:val="000080"/>
      <w:sz w:val="24"/>
    </w:rPr>
  </w:style>
  <w:style w:type="paragraph" w:styleId="TDC4">
    <w:name w:val="toc 4"/>
    <w:basedOn w:val="Normal"/>
    <w:next w:val="Normal"/>
    <w:autoRedefine/>
    <w:uiPriority w:val="39"/>
    <w:pPr>
      <w:tabs>
        <w:tab w:val="left" w:pos="1540"/>
        <w:tab w:val="right" w:leader="dot" w:pos="10206"/>
      </w:tabs>
      <w:ind w:left="658"/>
    </w:pPr>
    <w:rPr>
      <w:noProof/>
    </w:rPr>
  </w:style>
  <w:style w:type="paragraph" w:styleId="TDC5">
    <w:name w:val="toc 5"/>
    <w:basedOn w:val="Normal"/>
    <w:next w:val="Normal"/>
    <w:autoRedefine/>
    <w:semiHidden/>
    <w:pPr>
      <w:ind w:left="880"/>
    </w:pPr>
  </w:style>
  <w:style w:type="paragraph" w:styleId="TDC6">
    <w:name w:val="toc 6"/>
    <w:basedOn w:val="Normal"/>
    <w:next w:val="Normal"/>
    <w:autoRedefine/>
    <w:semiHidden/>
    <w:pPr>
      <w:ind w:left="1100"/>
    </w:pPr>
  </w:style>
  <w:style w:type="paragraph" w:styleId="TDC7">
    <w:name w:val="toc 7"/>
    <w:basedOn w:val="Normal"/>
    <w:next w:val="Normal"/>
    <w:autoRedefine/>
    <w:semiHidden/>
    <w:pPr>
      <w:ind w:left="1320"/>
    </w:pPr>
  </w:style>
  <w:style w:type="paragraph" w:styleId="TDC8">
    <w:name w:val="toc 8"/>
    <w:basedOn w:val="Normal"/>
    <w:next w:val="Normal"/>
    <w:autoRedefine/>
    <w:semiHidden/>
    <w:pPr>
      <w:ind w:left="1540"/>
    </w:pPr>
  </w:style>
  <w:style w:type="paragraph" w:styleId="TDC9">
    <w:name w:val="toc 9"/>
    <w:basedOn w:val="Normal"/>
    <w:next w:val="Normal"/>
    <w:autoRedefine/>
    <w:semiHidden/>
    <w:pPr>
      <w:ind w:left="1760"/>
    </w:pPr>
  </w:style>
  <w:style w:type="paragraph" w:customStyle="1" w:styleId="TABLATEXIZQ">
    <w:name w:val="TABLA_TEX_IZQ"/>
    <w:basedOn w:val="Normal"/>
    <w:semiHidden/>
    <w:pPr>
      <w:spacing w:after="20"/>
      <w:ind w:left="0"/>
    </w:pPr>
    <w:rPr>
      <w:sz w:val="20"/>
      <w:lang w:val="es-ES_tradnl"/>
    </w:rPr>
  </w:style>
  <w:style w:type="paragraph" w:styleId="Epgrafe">
    <w:name w:val="caption"/>
    <w:basedOn w:val="Normal"/>
    <w:next w:val="Normal"/>
    <w:qFormat/>
    <w:rPr>
      <w:b/>
      <w:sz w:val="24"/>
    </w:rPr>
  </w:style>
  <w:style w:type="character" w:styleId="Hipervnculovisitado">
    <w:name w:val="FollowedHyperlink"/>
    <w:rPr>
      <w:color w:val="800080"/>
      <w:u w:val="single"/>
    </w:rPr>
  </w:style>
  <w:style w:type="paragraph" w:customStyle="1" w:styleId="Normal1">
    <w:name w:val="Normal1"/>
    <w:semiHidden/>
    <w:pPr>
      <w:spacing w:after="120"/>
      <w:ind w:firstLine="567"/>
      <w:jc w:val="both"/>
    </w:pPr>
    <w:rPr>
      <w:rFonts w:ascii="Garamond" w:hAnsi="Garamond"/>
      <w:sz w:val="24"/>
    </w:rPr>
  </w:style>
  <w:style w:type="paragraph" w:styleId="Listaconvietas3">
    <w:name w:val="List Bullet 3"/>
    <w:basedOn w:val="Normal"/>
    <w:pPr>
      <w:numPr>
        <w:numId w:val="2"/>
      </w:numPr>
      <w:tabs>
        <w:tab w:val="left" w:pos="1758"/>
      </w:tabs>
      <w:ind w:left="1758" w:hanging="284"/>
    </w:pPr>
    <w:rPr>
      <w:snapToGrid w:val="0"/>
      <w:color w:val="000000"/>
      <w:sz w:val="20"/>
    </w:rPr>
  </w:style>
  <w:style w:type="paragraph" w:styleId="Listaconvietas2">
    <w:name w:val="List Bullet 2"/>
    <w:basedOn w:val="Normal"/>
    <w:pPr>
      <w:numPr>
        <w:numId w:val="13"/>
      </w:numPr>
      <w:tabs>
        <w:tab w:val="clear" w:pos="2762"/>
        <w:tab w:val="left" w:pos="1474"/>
      </w:tabs>
      <w:ind w:left="1475" w:hanging="284"/>
    </w:pPr>
    <w:rPr>
      <w:snapToGrid w:val="0"/>
    </w:rPr>
  </w:style>
  <w:style w:type="paragraph" w:styleId="Listaconvietas">
    <w:name w:val="List Bullet"/>
    <w:basedOn w:val="Normal"/>
    <w:pPr>
      <w:numPr>
        <w:numId w:val="3"/>
      </w:numPr>
      <w:tabs>
        <w:tab w:val="clear" w:pos="1233"/>
      </w:tabs>
      <w:ind w:left="1179" w:hanging="306"/>
    </w:pPr>
    <w:rPr>
      <w:snapToGrid w:val="0"/>
      <w:color w:val="000000"/>
    </w:rPr>
  </w:style>
  <w:style w:type="paragraph" w:styleId="Listaconnmeros5">
    <w:name w:val="List Number 5"/>
    <w:basedOn w:val="Normal"/>
    <w:pPr>
      <w:numPr>
        <w:numId w:val="4"/>
      </w:numPr>
      <w:tabs>
        <w:tab w:val="left" w:pos="1418"/>
      </w:tabs>
      <w:spacing w:after="120" w:line="260" w:lineRule="exact"/>
      <w:ind w:left="1418" w:hanging="286"/>
      <w:jc w:val="left"/>
    </w:pPr>
    <w:rPr>
      <w:snapToGrid w:val="0"/>
      <w:sz w:val="24"/>
      <w:lang w:val="es-ES_tradnl"/>
    </w:rPr>
  </w:style>
  <w:style w:type="paragraph" w:styleId="Listaconnmeros2">
    <w:name w:val="List Number 2"/>
    <w:basedOn w:val="Normal"/>
    <w:pPr>
      <w:numPr>
        <w:numId w:val="5"/>
      </w:numPr>
      <w:jc w:val="left"/>
    </w:pPr>
    <w:rPr>
      <w:snapToGrid w:val="0"/>
    </w:rPr>
  </w:style>
  <w:style w:type="paragraph" w:customStyle="1" w:styleId="PORTADALOGO">
    <w:name w:val="PORTADA_LOGO"/>
    <w:basedOn w:val="Normal1"/>
    <w:semiHidden/>
    <w:pPr>
      <w:spacing w:after="0"/>
      <w:ind w:firstLine="0"/>
    </w:pPr>
    <w:rPr>
      <w:lang w:val="es-ES_tradnl"/>
    </w:rPr>
  </w:style>
  <w:style w:type="character" w:styleId="Refdenotaalfinal">
    <w:name w:val="endnote reference"/>
    <w:semiHidden/>
    <w:rPr>
      <w:vertAlign w:val="superscript"/>
    </w:rPr>
  </w:style>
  <w:style w:type="paragraph" w:customStyle="1" w:styleId="RX">
    <w:name w:val="RX"/>
    <w:basedOn w:val="Normal"/>
    <w:semiHidden/>
    <w:pPr>
      <w:tabs>
        <w:tab w:val="num" w:pos="1080"/>
      </w:tabs>
      <w:spacing w:after="60"/>
      <w:ind w:left="0"/>
    </w:pPr>
    <w:rPr>
      <w:sz w:val="24"/>
    </w:rPr>
  </w:style>
  <w:style w:type="paragraph" w:customStyle="1" w:styleId="ComentarioL1">
    <w:name w:val="Comentario L1"/>
    <w:basedOn w:val="Normal"/>
    <w:pPr>
      <w:numPr>
        <w:numId w:val="6"/>
      </w:numPr>
      <w:tabs>
        <w:tab w:val="left" w:pos="1230"/>
      </w:tabs>
    </w:pPr>
    <w:rPr>
      <w:snapToGrid w:val="0"/>
      <w:color w:val="0000FF"/>
      <w:sz w:val="20"/>
      <w:lang w:val="es-ES_tradnl"/>
    </w:rPr>
  </w:style>
  <w:style w:type="character" w:customStyle="1" w:styleId="ComentarioL1Car">
    <w:name w:val="Comentario L1 Car"/>
    <w:rPr>
      <w:rFonts w:ascii="Garamond" w:hAnsi="Garamond"/>
      <w:snapToGrid w:val="0"/>
      <w:color w:val="0000FF"/>
      <w:lang w:val="es-ES_tradnl" w:eastAsia="es-ES" w:bidi="ar-SA"/>
    </w:rPr>
  </w:style>
  <w:style w:type="paragraph" w:customStyle="1" w:styleId="ComentarioL2">
    <w:name w:val="Comentario L2"/>
    <w:basedOn w:val="Normal"/>
    <w:pPr>
      <w:numPr>
        <w:numId w:val="7"/>
      </w:numPr>
      <w:tabs>
        <w:tab w:val="left" w:pos="1571"/>
      </w:tabs>
      <w:ind w:left="1570" w:hanging="357"/>
    </w:pPr>
    <w:rPr>
      <w:color w:val="0000FF"/>
      <w:sz w:val="20"/>
    </w:rPr>
  </w:style>
  <w:style w:type="paragraph" w:customStyle="1" w:styleId="EncabezadoTB">
    <w:name w:val="Encabezado TB"/>
    <w:basedOn w:val="Normal"/>
    <w:pPr>
      <w:ind w:left="0"/>
      <w:jc w:val="center"/>
    </w:pPr>
    <w:rPr>
      <w:rFonts w:ascii="TheSansCorrespondence" w:hAnsi="TheSansCorrespondence"/>
      <w:b/>
      <w:bCs/>
      <w:spacing w:val="-2"/>
      <w:sz w:val="20"/>
      <w:szCs w:val="19"/>
    </w:rPr>
  </w:style>
  <w:style w:type="paragraph" w:customStyle="1" w:styleId="ContenidoTB">
    <w:name w:val="Contenido TB"/>
    <w:basedOn w:val="Normal"/>
    <w:pPr>
      <w:ind w:left="0"/>
    </w:pPr>
    <w:rPr>
      <w:spacing w:val="-2"/>
      <w:sz w:val="19"/>
    </w:rPr>
  </w:style>
  <w:style w:type="character" w:styleId="AcrnimoHTML">
    <w:name w:val="HTML Acronym"/>
    <w:basedOn w:val="Fuentedeprrafopredeter"/>
  </w:style>
  <w:style w:type="paragraph" w:styleId="Cierre">
    <w:name w:val="Closing"/>
    <w:basedOn w:val="Normal"/>
    <w:pPr>
      <w:ind w:left="4252"/>
    </w:pPr>
  </w:style>
  <w:style w:type="character" w:styleId="CitaHTML">
    <w:name w:val="HTML Cite"/>
    <w:rPr>
      <w:i/>
      <w:iCs/>
    </w:rPr>
  </w:style>
  <w:style w:type="character" w:styleId="CdigoHTML">
    <w:name w:val="HTML Code"/>
    <w:rPr>
      <w:rFonts w:ascii="Courier New" w:hAnsi="Courier New" w:cs="Courier New"/>
      <w:sz w:val="20"/>
      <w:szCs w:val="20"/>
    </w:r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paragraph" w:styleId="Continuarlista3">
    <w:name w:val="List Continue 3"/>
    <w:basedOn w:val="Normal"/>
    <w:pPr>
      <w:spacing w:after="120"/>
      <w:ind w:left="849"/>
    </w:pPr>
  </w:style>
  <w:style w:type="paragraph" w:styleId="Continuarlista4">
    <w:name w:val="List Continue 4"/>
    <w:basedOn w:val="Normal"/>
    <w:pPr>
      <w:spacing w:after="120"/>
      <w:ind w:left="1132"/>
    </w:pPr>
  </w:style>
  <w:style w:type="paragraph" w:styleId="Continuarlista5">
    <w:name w:val="List Continue 5"/>
    <w:basedOn w:val="Normal"/>
    <w:pPr>
      <w:spacing w:after="120"/>
      <w:ind w:left="1415"/>
    </w:pPr>
  </w:style>
  <w:style w:type="character" w:styleId="DefinicinHTML">
    <w:name w:val="HTML Definition"/>
    <w:rPr>
      <w:i/>
      <w:iCs/>
    </w:rPr>
  </w:style>
  <w:style w:type="paragraph" w:styleId="DireccinHTML">
    <w:name w:val="HTML Address"/>
    <w:basedOn w:val="Normal"/>
    <w:rPr>
      <w:i/>
      <w:iCs/>
    </w:rPr>
  </w:style>
  <w:style w:type="paragraph" w:styleId="Direccinsobre">
    <w:name w:val="envelope address"/>
    <w:basedOn w:val="Normal"/>
    <w:pPr>
      <w:framePr w:w="7920" w:h="1980" w:hRule="exact" w:hSpace="141" w:wrap="auto" w:hAnchor="page" w:xAlign="center" w:yAlign="bottom"/>
      <w:ind w:left="2880"/>
    </w:pPr>
    <w:rPr>
      <w:rFonts w:ascii="Arial" w:hAnsi="Arial" w:cs="Arial"/>
      <w:sz w:val="24"/>
      <w:szCs w:val="24"/>
    </w:rPr>
  </w:style>
  <w:style w:type="character" w:styleId="EjemplodeHTML">
    <w:name w:val="HTML Sample"/>
    <w:rPr>
      <w:rFonts w:ascii="Courier New" w:hAnsi="Courier New" w:cs="Courier New"/>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tyle>
  <w:style w:type="character" w:styleId="nfasis">
    <w:name w:val="Emphasis"/>
    <w:qFormat/>
    <w:rPr>
      <w:i/>
      <w:iCs/>
    </w:rPr>
  </w:style>
  <w:style w:type="paragraph" w:styleId="Fecha">
    <w:name w:val="Date"/>
    <w:basedOn w:val="Normal"/>
    <w:next w:val="Normal"/>
  </w:style>
  <w:style w:type="paragraph" w:styleId="Firma">
    <w:name w:val="Signature"/>
    <w:basedOn w:val="Normal"/>
    <w:pPr>
      <w:ind w:left="4252"/>
    </w:pPr>
  </w:style>
  <w:style w:type="paragraph" w:styleId="Firmadecorreoelectrnico">
    <w:name w:val="E-mail Signature"/>
    <w:basedOn w:val="Normal"/>
  </w:style>
  <w:style w:type="paragraph" w:styleId="HTMLconformatoprevio">
    <w:name w:val="HTML Preformatted"/>
    <w:basedOn w:val="Normal"/>
    <w:rPr>
      <w:rFonts w:ascii="Courier New" w:hAnsi="Courier New" w:cs="Courier New"/>
      <w:sz w:val="20"/>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Lista5">
    <w:name w:val="List 5"/>
    <w:basedOn w:val="Normal"/>
    <w:pPr>
      <w:ind w:left="1415" w:hanging="283"/>
    </w:pPr>
  </w:style>
  <w:style w:type="paragraph" w:styleId="Listaconnmeros4">
    <w:name w:val="List Number 4"/>
    <w:basedOn w:val="Normal"/>
    <w:pPr>
      <w:numPr>
        <w:numId w:val="10"/>
      </w:numPr>
    </w:pPr>
  </w:style>
  <w:style w:type="paragraph" w:styleId="Listaconvietas4">
    <w:name w:val="List Bullet 4"/>
    <w:basedOn w:val="Normal"/>
    <w:pPr>
      <w:numPr>
        <w:numId w:val="11"/>
      </w:numPr>
    </w:pPr>
  </w:style>
  <w:style w:type="paragraph" w:styleId="Listaconvietas5">
    <w:name w:val="List Bullet 5"/>
    <w:basedOn w:val="Normal"/>
    <w:pPr>
      <w:numPr>
        <w:numId w:val="12"/>
      </w:numPr>
    </w:pPr>
  </w:style>
  <w:style w:type="character" w:styleId="MquinadeescribirHTML">
    <w:name w:val="HTML Typewriter"/>
    <w:rPr>
      <w:rFonts w:ascii="Courier New" w:hAnsi="Courier New" w:cs="Courier New"/>
      <w:sz w:val="20"/>
      <w:szCs w:val="20"/>
    </w:rPr>
  </w:style>
  <w:style w:type="paragraph" w:styleId="NormalWeb">
    <w:name w:val="Normal (Web)"/>
    <w:basedOn w:val="Normal"/>
    <w:rPr>
      <w:rFonts w:ascii="Times New Roman" w:hAnsi="Times New Roman"/>
      <w:sz w:val="24"/>
      <w:szCs w:val="24"/>
    </w:rPr>
  </w:style>
  <w:style w:type="character" w:styleId="Nmerodelnea">
    <w:name w:val="line number"/>
    <w:basedOn w:val="Fuentedeprrafopredeter"/>
  </w:style>
  <w:style w:type="paragraph" w:styleId="Remitedesobre">
    <w:name w:val="envelope return"/>
    <w:basedOn w:val="Normal"/>
    <w:rPr>
      <w:rFonts w:ascii="Arial" w:hAnsi="Arial" w:cs="Arial"/>
      <w:sz w:val="20"/>
    </w:rPr>
  </w:style>
  <w:style w:type="paragraph" w:styleId="Saludo">
    <w:name w:val="Salutation"/>
    <w:basedOn w:val="Normal"/>
    <w:next w:val="Normal"/>
  </w:style>
  <w:style w:type="paragraph" w:styleId="Sangranormal">
    <w:name w:val="Normal Indent"/>
    <w:basedOn w:val="Normal"/>
    <w:pPr>
      <w:ind w:left="708"/>
    </w:pPr>
  </w:style>
  <w:style w:type="paragraph" w:styleId="Subttulo">
    <w:name w:val="Subtitle"/>
    <w:basedOn w:val="Normal"/>
    <w:qFormat/>
    <w:pPr>
      <w:spacing w:after="60"/>
      <w:jc w:val="center"/>
      <w:outlineLvl w:val="1"/>
    </w:pPr>
    <w:rPr>
      <w:rFonts w:ascii="Arial" w:hAnsi="Arial" w:cs="Arial"/>
      <w:sz w:val="24"/>
      <w:szCs w:val="24"/>
    </w:rPr>
  </w:style>
  <w:style w:type="character" w:styleId="TecladoHTML">
    <w:name w:val="HTML Keyboard"/>
    <w:rPr>
      <w:rFonts w:ascii="Courier New" w:hAnsi="Courier New" w:cs="Courier New"/>
      <w:sz w:val="20"/>
      <w:szCs w:val="20"/>
    </w:rPr>
  </w:style>
  <w:style w:type="character" w:styleId="Textoennegrita">
    <w:name w:val="Strong"/>
    <w:qFormat/>
    <w:rPr>
      <w:b/>
      <w:bCs/>
    </w:rPr>
  </w:style>
  <w:style w:type="paragraph" w:styleId="Textoindependienteprimerasangra">
    <w:name w:val="Body Text First Indent"/>
    <w:basedOn w:val="Textoindependiente"/>
    <w:pPr>
      <w:spacing w:after="120"/>
      <w:ind w:firstLine="210"/>
    </w:pPr>
    <w:rPr>
      <w:sz w:val="22"/>
      <w:lang w:val="es-ES"/>
    </w:rPr>
  </w:style>
  <w:style w:type="paragraph" w:styleId="Textoindependienteprimerasangra2">
    <w:name w:val="Body Text First Indent 2"/>
    <w:basedOn w:val="Sangradetextonormal"/>
    <w:pPr>
      <w:spacing w:after="120"/>
      <w:ind w:left="283" w:firstLine="210"/>
    </w:pPr>
  </w:style>
  <w:style w:type="paragraph" w:styleId="Textosinformato">
    <w:name w:val="Plain Text"/>
    <w:basedOn w:val="Normal"/>
    <w:rPr>
      <w:rFonts w:ascii="Courier New" w:hAnsi="Courier New" w:cs="Courier New"/>
      <w:sz w:val="20"/>
    </w:rPr>
  </w:style>
  <w:style w:type="character" w:styleId="VariableHTML">
    <w:name w:val="HTML Variable"/>
    <w:rPr>
      <w:i/>
      <w:iCs/>
    </w:rPr>
  </w:style>
  <w:style w:type="paragraph" w:styleId="Listaconnmeros">
    <w:name w:val="List Number"/>
    <w:basedOn w:val="Normal"/>
    <w:pPr>
      <w:numPr>
        <w:numId w:val="8"/>
      </w:numPr>
    </w:pPr>
  </w:style>
  <w:style w:type="paragraph" w:styleId="Listaconnmeros3">
    <w:name w:val="List Number 3"/>
    <w:basedOn w:val="Normal"/>
    <w:pPr>
      <w:numPr>
        <w:numId w:val="9"/>
      </w:numPr>
      <w:ind w:left="1775" w:hanging="357"/>
    </w:pPr>
    <w:rPr>
      <w:sz w:val="20"/>
    </w:rPr>
  </w:style>
  <w:style w:type="character" w:customStyle="1" w:styleId="Ttulo2CarCar">
    <w:name w:val="Título 2 Car Car"/>
    <w:rPr>
      <w:rFonts w:ascii="TheSansCorrespondence" w:hAnsi="TheSansCorrespondence"/>
      <w:b/>
      <w:snapToGrid w:val="0"/>
      <w:sz w:val="24"/>
      <w:szCs w:val="24"/>
      <w:lang w:val="es-ES_tradnl" w:eastAsia="es-ES" w:bidi="ar-SA"/>
    </w:rPr>
  </w:style>
  <w:style w:type="paragraph" w:customStyle="1" w:styleId="ComentarioL1Num">
    <w:name w:val="Comentario L1 Num"/>
    <w:basedOn w:val="Listaconnmeros"/>
    <w:rPr>
      <w:color w:val="0000FF"/>
      <w:sz w:val="20"/>
      <w:lang w:val="es-ES_tradnl"/>
    </w:rPr>
  </w:style>
  <w:style w:type="character" w:styleId="Refdenotaalpie">
    <w:name w:val="footnote reference"/>
    <w:aliases w:val="fr,Style 6,Footnote Reference Superscript,Footnote symbol,Footnote,Appel note de bas de p,Nota,BVI fnr,SUPERS"/>
    <w:uiPriority w:val="99"/>
    <w:rsid w:val="00480D6B"/>
    <w:rPr>
      <w:vertAlign w:val="superscript"/>
    </w:rPr>
  </w:style>
  <w:style w:type="character" w:customStyle="1" w:styleId="Normal1Car1">
    <w:name w:val="Normal1 Car1"/>
    <w:rPr>
      <w:rFonts w:ascii="Garamond" w:hAnsi="Garamond"/>
      <w:sz w:val="24"/>
      <w:lang w:val="es-ES" w:eastAsia="es-ES" w:bidi="ar-SA"/>
    </w:rPr>
  </w:style>
  <w:style w:type="paragraph" w:customStyle="1" w:styleId="PORTADATITULO">
    <w:name w:val="PORTADA_TITULO"/>
    <w:basedOn w:val="Normal1"/>
    <w:pPr>
      <w:framePr w:w="7938" w:hSpace="142" w:vSpace="142" w:wrap="around" w:vAnchor="page" w:hAnchor="margin" w:xAlign="center" w:y="7656" w:anchorLock="1"/>
      <w:jc w:val="center"/>
    </w:pPr>
    <w:rPr>
      <w:b/>
      <w:caps/>
      <w:sz w:val="36"/>
    </w:rPr>
  </w:style>
  <w:style w:type="paragraph" w:customStyle="1" w:styleId="PORTADAAREA">
    <w:name w:val="PORTADA_AREA"/>
    <w:basedOn w:val="Normal1"/>
    <w:pPr>
      <w:framePr w:hSpace="142" w:vSpace="142" w:wrap="around" w:vAnchor="page" w:hAnchor="margin" w:xAlign="center" w:y="12305"/>
      <w:ind w:left="113" w:right="113"/>
    </w:pPr>
    <w:rPr>
      <w:caps/>
      <w:spacing w:val="30"/>
    </w:rPr>
  </w:style>
  <w:style w:type="paragraph" w:customStyle="1" w:styleId="TEXTOCENTRADO">
    <w:name w:val="TEXTO_CENTRADO"/>
    <w:basedOn w:val="Normal1"/>
    <w:autoRedefine/>
    <w:pPr>
      <w:ind w:firstLine="0"/>
      <w:jc w:val="center"/>
    </w:pPr>
    <w:rPr>
      <w:noProof/>
    </w:rPr>
  </w:style>
  <w:style w:type="paragraph" w:customStyle="1" w:styleId="INDICETIT">
    <w:name w:val="INDICE_TIT"/>
    <w:basedOn w:val="Normal1"/>
    <w:pPr>
      <w:spacing w:before="720" w:after="360"/>
      <w:jc w:val="center"/>
    </w:pPr>
    <w:rPr>
      <w:b/>
    </w:rPr>
  </w:style>
  <w:style w:type="paragraph" w:customStyle="1" w:styleId="PORTADATX4">
    <w:name w:val="PORTADA_TX4"/>
    <w:basedOn w:val="Normal"/>
    <w:pPr>
      <w:framePr w:w="1474" w:h="3799" w:hRule="exact" w:hSpace="142" w:vSpace="142" w:wrap="around" w:vAnchor="page" w:hAnchor="page" w:x="341" w:y="6522" w:anchorLock="1"/>
      <w:spacing w:after="60"/>
      <w:ind w:left="0"/>
      <w:jc w:val="left"/>
    </w:pPr>
    <w:rPr>
      <w:lang w:val="es-ES_tradnl"/>
    </w:rPr>
  </w:style>
  <w:style w:type="paragraph" w:customStyle="1" w:styleId="PORTADATX5">
    <w:name w:val="PORTADA_TX5"/>
    <w:basedOn w:val="PORTADATX4"/>
    <w:pPr>
      <w:framePr w:w="907" w:wrap="around" w:x="10717"/>
    </w:pPr>
    <w:rPr>
      <w:lang w:val="es-ES"/>
    </w:rPr>
  </w:style>
  <w:style w:type="paragraph" w:customStyle="1" w:styleId="ListaAnexos">
    <w:name w:val="Lista Anexos"/>
    <w:basedOn w:val="Normal1"/>
    <w:autoRedefine/>
    <w:pPr>
      <w:tabs>
        <w:tab w:val="left" w:pos="1276"/>
        <w:tab w:val="right" w:leader="dot" w:pos="10065"/>
      </w:tabs>
      <w:spacing w:before="120"/>
      <w:ind w:left="1276" w:right="1814" w:hanging="1276"/>
    </w:pPr>
    <w:rPr>
      <w:caps/>
    </w:rPr>
  </w:style>
  <w:style w:type="paragraph" w:customStyle="1" w:styleId="TtuloAnexos">
    <w:name w:val="Título Anexos"/>
    <w:basedOn w:val="Normal1"/>
    <w:next w:val="ListaAnexos"/>
    <w:pPr>
      <w:pageBreakBefore/>
      <w:widowControl w:val="0"/>
      <w:spacing w:before="240" w:after="360"/>
      <w:ind w:left="1418" w:hanging="1418"/>
    </w:pPr>
    <w:rPr>
      <w:b/>
      <w:caps/>
      <w:kern w:val="28"/>
      <w:lang w:val="es-ES_tradnl"/>
    </w:rPr>
  </w:style>
  <w:style w:type="paragraph" w:customStyle="1" w:styleId="Portada5">
    <w:name w:val="Portada5"/>
    <w:basedOn w:val="Normal1"/>
    <w:next w:val="Normal"/>
    <w:pPr>
      <w:tabs>
        <w:tab w:val="left" w:pos="709"/>
        <w:tab w:val="left" w:pos="1418"/>
        <w:tab w:val="left" w:pos="2126"/>
        <w:tab w:val="left" w:pos="2835"/>
        <w:tab w:val="left" w:pos="3544"/>
      </w:tabs>
    </w:pPr>
    <w:rPr>
      <w:sz w:val="16"/>
      <w:lang w:val="es-ES_tradnl"/>
    </w:rPr>
  </w:style>
  <w:style w:type="paragraph" w:customStyle="1" w:styleId="TABLATEXCENT">
    <w:name w:val="TABLA_TEX_CENT"/>
    <w:basedOn w:val="TABLATEXIZQ"/>
    <w:pPr>
      <w:spacing w:before="120"/>
      <w:jc w:val="center"/>
    </w:pPr>
  </w:style>
  <w:style w:type="paragraph" w:customStyle="1" w:styleId="TtuloAnexo">
    <w:name w:val="Título Anexo"/>
    <w:basedOn w:val="Normal"/>
    <w:pPr>
      <w:ind w:left="0"/>
      <w:jc w:val="left"/>
    </w:pPr>
    <w:rPr>
      <w:rFonts w:ascii="Times New Roman" w:hAnsi="Times New Roman"/>
      <w:b/>
      <w:sz w:val="24"/>
      <w:szCs w:val="24"/>
    </w:rPr>
  </w:style>
  <w:style w:type="paragraph" w:customStyle="1" w:styleId="Tablas">
    <w:name w:val="Tablas"/>
    <w:basedOn w:val="Normal"/>
    <w:pPr>
      <w:tabs>
        <w:tab w:val="left" w:pos="-2105"/>
        <w:tab w:val="left" w:pos="-1385"/>
        <w:tab w:val="left" w:pos="-665"/>
        <w:tab w:val="left" w:pos="571"/>
        <w:tab w:val="left" w:pos="1147"/>
        <w:tab w:val="left" w:pos="1723"/>
        <w:tab w:val="left" w:pos="2299"/>
        <w:tab w:val="left" w:pos="2875"/>
        <w:tab w:val="left" w:pos="3451"/>
        <w:tab w:val="left" w:pos="4027"/>
        <w:tab w:val="left" w:pos="4603"/>
      </w:tabs>
      <w:spacing w:before="60" w:after="60"/>
      <w:ind w:left="0"/>
      <w:jc w:val="left"/>
    </w:pPr>
    <w:rPr>
      <w:spacing w:val="-2"/>
      <w:sz w:val="24"/>
    </w:rPr>
  </w:style>
  <w:style w:type="paragraph" w:styleId="Textodeglobo">
    <w:name w:val="Balloon Text"/>
    <w:basedOn w:val="Normal"/>
    <w:semiHidden/>
    <w:rPr>
      <w:rFonts w:ascii="Tahoma" w:hAnsi="Tahoma" w:cs="Tahoma"/>
      <w:sz w:val="16"/>
      <w:szCs w:val="16"/>
    </w:rPr>
  </w:style>
  <w:style w:type="character" w:customStyle="1" w:styleId="Normal1Car">
    <w:name w:val="Normal1 Car"/>
    <w:rPr>
      <w:rFonts w:ascii="Garamond" w:hAnsi="Garamond"/>
      <w:sz w:val="24"/>
      <w:lang w:val="es-ES" w:eastAsia="es-ES" w:bidi="ar-SA"/>
    </w:rPr>
  </w:style>
  <w:style w:type="paragraph" w:customStyle="1" w:styleId="EstiloTtulo4">
    <w:name w:val="Estilo Título 4"/>
    <w:basedOn w:val="Ttulo4"/>
    <w:autoRedefine/>
    <w:pPr>
      <w:spacing w:before="120"/>
    </w:pPr>
    <w:rPr>
      <w:rFonts w:ascii="Arial" w:hAnsi="Arial"/>
      <w:b/>
    </w:rPr>
  </w:style>
  <w:style w:type="paragraph" w:customStyle="1" w:styleId="Bola2">
    <w:name w:val="Bola2"/>
    <w:basedOn w:val="Normal"/>
    <w:pPr>
      <w:spacing w:before="120" w:line="260" w:lineRule="exact"/>
      <w:ind w:left="2409" w:hanging="283"/>
    </w:pPr>
    <w:rPr>
      <w:rFonts w:ascii="Times" w:hAnsi="Times"/>
      <w:color w:val="000000"/>
      <w:kern w:val="22"/>
      <w:lang w:val="es-ES_tradnl"/>
    </w:rPr>
  </w:style>
  <w:style w:type="paragraph" w:customStyle="1" w:styleId="Bola3">
    <w:name w:val="Bola3"/>
    <w:basedOn w:val="Bola2"/>
  </w:style>
  <w:style w:type="paragraph" w:customStyle="1" w:styleId="Bola4">
    <w:name w:val="Bola4"/>
    <w:basedOn w:val="Bola3"/>
  </w:style>
  <w:style w:type="paragraph" w:customStyle="1" w:styleId="Bola5">
    <w:name w:val="Bola5"/>
    <w:basedOn w:val="Bola4"/>
  </w:style>
  <w:style w:type="paragraph" w:customStyle="1" w:styleId="Bola6">
    <w:name w:val="Bola6"/>
    <w:basedOn w:val="Bola5"/>
  </w:style>
  <w:style w:type="paragraph" w:customStyle="1" w:styleId="Bola7">
    <w:name w:val="Bola7"/>
    <w:basedOn w:val="Bola6"/>
  </w:style>
  <w:style w:type="paragraph" w:customStyle="1" w:styleId="Bola8">
    <w:name w:val="Bola8"/>
    <w:basedOn w:val="Bola7"/>
  </w:style>
  <w:style w:type="character" w:customStyle="1" w:styleId="Ttulo2Car">
    <w:name w:val="Título 2 Car"/>
    <w:aliases w:val="Portadilla 2 Car,h2 Car,2 Car,h21 Car,21 Car,titulo2 Car,Level 2 Topic Heading Car,H2 Car,DO NOT USE_h2 Car,chn Car,Chapter Number/Appendix Letter Car,H21 Car,H22 Car,Header 2 Car,CHS Car,H2-Heading 2 Car,l2 Car,Header2 Car,22 Car,list2 Car"/>
    <w:rPr>
      <w:rFonts w:ascii="TheSansCorrespondence" w:hAnsi="TheSansCorrespondence"/>
      <w:b/>
      <w:snapToGrid w:val="0"/>
      <w:sz w:val="24"/>
      <w:szCs w:val="24"/>
      <w:lang w:val="es-ES_tradnl" w:eastAsia="es-ES" w:bidi="ar-SA"/>
    </w:rPr>
  </w:style>
  <w:style w:type="paragraph" w:customStyle="1" w:styleId="xl28">
    <w:name w:val="xl28"/>
    <w:basedOn w:val="Normal"/>
    <w:pPr>
      <w:pBdr>
        <w:top w:val="single" w:sz="8" w:space="0" w:color="auto"/>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Sangradonivel1conbolo">
    <w:name w:val="Sangrado nivel 1 con bolo"/>
    <w:basedOn w:val="Normal"/>
    <w:pPr>
      <w:numPr>
        <w:numId w:val="14"/>
      </w:numPr>
      <w:tabs>
        <w:tab w:val="left" w:pos="709"/>
        <w:tab w:val="left" w:pos="1418"/>
        <w:tab w:val="left" w:pos="2126"/>
        <w:tab w:val="left" w:pos="2835"/>
        <w:tab w:val="left" w:pos="3544"/>
      </w:tabs>
      <w:spacing w:after="120"/>
      <w:ind w:left="811" w:hanging="357"/>
    </w:pPr>
    <w:rPr>
      <w:rFonts w:ascii="Arial" w:hAnsi="Arial"/>
      <w:sz w:val="24"/>
      <w:lang w:val="es-ES_tradnl"/>
    </w:rPr>
  </w:style>
  <w:style w:type="paragraph" w:customStyle="1" w:styleId="TEXTOTA">
    <w:name w:val="TEXTO_TA"/>
    <w:basedOn w:val="Normal"/>
    <w:pPr>
      <w:keepLines/>
      <w:spacing w:before="120" w:after="240"/>
      <w:ind w:left="0"/>
    </w:pPr>
    <w:rPr>
      <w:rFonts w:ascii="Arial" w:hAnsi="Arial"/>
      <w:lang w:val="es-ES_tradnl"/>
    </w:rPr>
  </w:style>
  <w:style w:type="paragraph" w:customStyle="1" w:styleId="tabla">
    <w:name w:val="tabla"/>
    <w:basedOn w:val="Normal"/>
    <w:pPr>
      <w:keepLines/>
      <w:ind w:left="0"/>
      <w:jc w:val="left"/>
    </w:pPr>
    <w:rPr>
      <w:rFonts w:ascii="Arial" w:hAnsi="Arial"/>
      <w:sz w:val="20"/>
      <w:lang w:val="es-ES_tradnl"/>
    </w:rPr>
  </w:style>
  <w:style w:type="paragraph" w:styleId="Prrafodelista">
    <w:name w:val="List Paragraph"/>
    <w:basedOn w:val="Normal"/>
    <w:qFormat/>
    <w:pPr>
      <w:ind w:left="708"/>
    </w:pPr>
  </w:style>
  <w:style w:type="paragraph" w:customStyle="1" w:styleId="xl24">
    <w:name w:val="xl24"/>
    <w:basedOn w:val="Normal"/>
    <w:pPr>
      <w:shd w:val="clear" w:color="auto" w:fill="FFFF00"/>
      <w:spacing w:before="100" w:beforeAutospacing="1" w:after="100" w:afterAutospacing="1"/>
      <w:ind w:left="0"/>
      <w:jc w:val="left"/>
    </w:pPr>
    <w:rPr>
      <w:rFonts w:ascii="Arial" w:eastAsia="Arial Unicode MS" w:hAnsi="Arial" w:cs="Arial"/>
      <w:b/>
      <w:bCs/>
      <w:sz w:val="16"/>
      <w:szCs w:val="16"/>
    </w:rPr>
  </w:style>
  <w:style w:type="paragraph" w:customStyle="1" w:styleId="xl25">
    <w:name w:val="xl25"/>
    <w:basedOn w:val="Normal"/>
    <w:pPr>
      <w:spacing w:before="100" w:beforeAutospacing="1" w:after="100" w:afterAutospacing="1"/>
      <w:ind w:left="0"/>
      <w:jc w:val="left"/>
    </w:pPr>
    <w:rPr>
      <w:rFonts w:ascii="Arial" w:eastAsia="Arial Unicode MS" w:hAnsi="Arial" w:cs="Arial"/>
      <w:sz w:val="16"/>
      <w:szCs w:val="16"/>
    </w:rPr>
  </w:style>
  <w:style w:type="paragraph" w:customStyle="1" w:styleId="xl26">
    <w:name w:val="xl26"/>
    <w:basedOn w:val="Normal"/>
    <w:pPr>
      <w:pBdr>
        <w:top w:val="single" w:sz="8" w:space="0" w:color="auto"/>
        <w:lef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27">
    <w:name w:val="xl27"/>
    <w:basedOn w:val="Normal"/>
    <w:pPr>
      <w:pBdr>
        <w:top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29">
    <w:name w:val="xl29"/>
    <w:basedOn w:val="Normal"/>
    <w:pPr>
      <w:pBdr>
        <w:lef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0">
    <w:name w:val="xl30"/>
    <w:basedOn w:val="Normal"/>
    <w:pPr>
      <w:pBdr>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1">
    <w:name w:val="xl31"/>
    <w:basedOn w:val="Normal"/>
    <w:pPr>
      <w:pBdr>
        <w:left w:val="single" w:sz="8" w:space="0" w:color="auto"/>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2">
    <w:name w:val="xl32"/>
    <w:basedOn w:val="Normal"/>
    <w:pPr>
      <w:pBdr>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3">
    <w:name w:val="xl33"/>
    <w:basedOn w:val="Normal"/>
    <w:pPr>
      <w:pBdr>
        <w:bottom w:val="single" w:sz="8" w:space="0" w:color="auto"/>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4">
    <w:name w:val="xl34"/>
    <w:basedOn w:val="Normal"/>
    <w:pPr>
      <w:pBdr>
        <w:top w:val="single" w:sz="8" w:space="0" w:color="auto"/>
        <w:left w:val="single" w:sz="8" w:space="0" w:color="auto"/>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5">
    <w:name w:val="xl35"/>
    <w:basedOn w:val="Normal"/>
    <w:pPr>
      <w:pBdr>
        <w:top w:val="single" w:sz="8" w:space="0" w:color="auto"/>
        <w:bottom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6">
    <w:name w:val="xl36"/>
    <w:basedOn w:val="Normal"/>
    <w:pPr>
      <w:pBdr>
        <w:top w:val="single" w:sz="8" w:space="0" w:color="auto"/>
        <w:bottom w:val="single" w:sz="8" w:space="0" w:color="auto"/>
        <w:right w:val="single" w:sz="8" w:space="0" w:color="auto"/>
      </w:pBdr>
      <w:spacing w:before="100" w:beforeAutospacing="1" w:after="100" w:afterAutospacing="1"/>
      <w:ind w:left="0"/>
      <w:jc w:val="left"/>
    </w:pPr>
    <w:rPr>
      <w:rFonts w:ascii="Arial" w:eastAsia="Arial Unicode MS" w:hAnsi="Arial" w:cs="Arial"/>
      <w:sz w:val="16"/>
      <w:szCs w:val="16"/>
    </w:rPr>
  </w:style>
  <w:style w:type="paragraph" w:customStyle="1" w:styleId="xl37">
    <w:name w:val="xl37"/>
    <w:basedOn w:val="Normal"/>
    <w:pPr>
      <w:pBdr>
        <w:lef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38">
    <w:name w:val="xl38"/>
    <w:basedOn w:val="Normal"/>
    <w:pP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39">
    <w:name w:val="xl39"/>
    <w:basedOn w:val="Normal"/>
    <w:pPr>
      <w:pBdr>
        <w:righ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0">
    <w:name w:val="xl40"/>
    <w:basedOn w:val="Normal"/>
    <w:pPr>
      <w:pBdr>
        <w:top w:val="single" w:sz="8" w:space="0" w:color="auto"/>
        <w:lef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1">
    <w:name w:val="xl41"/>
    <w:basedOn w:val="Normal"/>
    <w:pPr>
      <w:pBdr>
        <w:top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2">
    <w:name w:val="xl42"/>
    <w:basedOn w:val="Normal"/>
    <w:pPr>
      <w:pBdr>
        <w:top w:val="single" w:sz="8" w:space="0" w:color="auto"/>
        <w:righ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3">
    <w:name w:val="xl43"/>
    <w:basedOn w:val="Normal"/>
    <w:pPr>
      <w:pBdr>
        <w:left w:val="single" w:sz="8" w:space="0" w:color="auto"/>
        <w:bottom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4">
    <w:name w:val="xl44"/>
    <w:basedOn w:val="Normal"/>
    <w:pPr>
      <w:pBdr>
        <w:bottom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5">
    <w:name w:val="xl45"/>
    <w:basedOn w:val="Normal"/>
    <w:pPr>
      <w:pBdr>
        <w:bottom w:val="single" w:sz="8" w:space="0" w:color="auto"/>
        <w:right w:val="single" w:sz="8" w:space="0" w:color="auto"/>
      </w:pBdr>
      <w:shd w:val="clear" w:color="auto" w:fill="CCFFFF"/>
      <w:spacing w:before="100" w:beforeAutospacing="1" w:after="100" w:afterAutospacing="1"/>
      <w:ind w:left="0"/>
      <w:jc w:val="left"/>
    </w:pPr>
    <w:rPr>
      <w:rFonts w:ascii="Arial" w:eastAsia="Arial Unicode MS" w:hAnsi="Arial" w:cs="Arial"/>
      <w:sz w:val="16"/>
      <w:szCs w:val="16"/>
    </w:rPr>
  </w:style>
  <w:style w:type="paragraph" w:customStyle="1" w:styleId="xl46">
    <w:name w:val="xl46"/>
    <w:basedOn w:val="Normal"/>
    <w:pPr>
      <w:pBdr>
        <w:top w:val="single" w:sz="8" w:space="0" w:color="auto"/>
        <w:left w:val="single" w:sz="8" w:space="0" w:color="auto"/>
        <w:bottom w:val="single" w:sz="8" w:space="0" w:color="auto"/>
        <w:right w:val="single" w:sz="4" w:space="0" w:color="auto"/>
      </w:pBdr>
      <w:spacing w:before="100" w:beforeAutospacing="1" w:after="100" w:afterAutospacing="1"/>
      <w:ind w:left="0"/>
      <w:jc w:val="center"/>
      <w:textAlignment w:val="center"/>
    </w:pPr>
    <w:rPr>
      <w:rFonts w:ascii="Arial" w:eastAsia="Arial Unicode MS" w:hAnsi="Arial" w:cs="Arial"/>
      <w:sz w:val="16"/>
      <w:szCs w:val="16"/>
    </w:rPr>
  </w:style>
  <w:style w:type="paragraph" w:customStyle="1" w:styleId="xl47">
    <w:name w:val="xl47"/>
    <w:basedOn w:val="Normal"/>
    <w:pPr>
      <w:pBdr>
        <w:top w:val="single" w:sz="8" w:space="0" w:color="auto"/>
        <w:left w:val="single" w:sz="4" w:space="0" w:color="auto"/>
        <w:bottom w:val="single" w:sz="8" w:space="0" w:color="auto"/>
        <w:right w:val="single" w:sz="4" w:space="0" w:color="auto"/>
      </w:pBdr>
      <w:spacing w:before="100" w:beforeAutospacing="1" w:after="100" w:afterAutospacing="1"/>
      <w:ind w:left="0"/>
      <w:jc w:val="center"/>
      <w:textAlignment w:val="center"/>
    </w:pPr>
    <w:rPr>
      <w:rFonts w:ascii="Arial" w:eastAsia="Arial Unicode MS" w:hAnsi="Arial" w:cs="Arial"/>
      <w:sz w:val="16"/>
      <w:szCs w:val="16"/>
    </w:rPr>
  </w:style>
  <w:style w:type="paragraph" w:customStyle="1" w:styleId="xl48">
    <w:name w:val="xl48"/>
    <w:basedOn w:val="Normal"/>
    <w:pPr>
      <w:pBdr>
        <w:top w:val="single" w:sz="8" w:space="0" w:color="auto"/>
        <w:left w:val="single" w:sz="4" w:space="0" w:color="auto"/>
        <w:bottom w:val="single" w:sz="8" w:space="0" w:color="auto"/>
        <w:right w:val="single" w:sz="8" w:space="0" w:color="auto"/>
      </w:pBdr>
      <w:spacing w:before="100" w:beforeAutospacing="1" w:after="100" w:afterAutospacing="1"/>
      <w:ind w:left="0"/>
      <w:jc w:val="center"/>
      <w:textAlignment w:val="center"/>
    </w:pPr>
    <w:rPr>
      <w:rFonts w:ascii="Arial" w:eastAsia="Arial Unicode MS" w:hAnsi="Arial" w:cs="Arial"/>
      <w:sz w:val="16"/>
      <w:szCs w:val="16"/>
    </w:rPr>
  </w:style>
  <w:style w:type="paragraph" w:customStyle="1" w:styleId="xl49">
    <w:name w:val="xl49"/>
    <w:basedOn w:val="Normal"/>
    <w:pPr>
      <w:pBdr>
        <w:top w:val="single" w:sz="8" w:space="0" w:color="auto"/>
        <w:bottom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50">
    <w:name w:val="xl50"/>
    <w:basedOn w:val="Normal"/>
    <w:pPr>
      <w:shd w:val="clear" w:color="auto" w:fill="CCFFFF"/>
      <w:spacing w:before="100" w:beforeAutospacing="1" w:after="100" w:afterAutospacing="1"/>
      <w:ind w:left="0"/>
      <w:jc w:val="center"/>
    </w:pPr>
    <w:rPr>
      <w:rFonts w:ascii="Arial" w:eastAsia="Arial Unicode MS" w:hAnsi="Arial" w:cs="Arial"/>
      <w:sz w:val="16"/>
      <w:szCs w:val="16"/>
    </w:rPr>
  </w:style>
  <w:style w:type="paragraph" w:customStyle="1" w:styleId="xl51">
    <w:name w:val="xl51"/>
    <w:basedOn w:val="Normal"/>
    <w:pPr>
      <w:spacing w:before="100" w:beforeAutospacing="1" w:after="100" w:afterAutospacing="1"/>
      <w:ind w:left="0"/>
      <w:jc w:val="center"/>
    </w:pPr>
    <w:rPr>
      <w:rFonts w:ascii="Arial" w:eastAsia="Arial Unicode MS" w:hAnsi="Arial" w:cs="Arial"/>
      <w:sz w:val="16"/>
      <w:szCs w:val="16"/>
    </w:rPr>
  </w:style>
  <w:style w:type="paragraph" w:customStyle="1" w:styleId="xl52">
    <w:name w:val="xl52"/>
    <w:basedOn w:val="Normal"/>
    <w:pPr>
      <w:pBdr>
        <w:bottom w:val="single" w:sz="8" w:space="0" w:color="auto"/>
      </w:pBdr>
      <w:shd w:val="clear" w:color="auto" w:fill="CCFFFF"/>
      <w:spacing w:before="100" w:beforeAutospacing="1" w:after="100" w:afterAutospacing="1"/>
      <w:ind w:left="0"/>
      <w:jc w:val="center"/>
    </w:pPr>
    <w:rPr>
      <w:rFonts w:ascii="Arial" w:eastAsia="Arial Unicode MS" w:hAnsi="Arial" w:cs="Arial"/>
      <w:sz w:val="16"/>
      <w:szCs w:val="16"/>
    </w:rPr>
  </w:style>
  <w:style w:type="paragraph" w:customStyle="1" w:styleId="xl53">
    <w:name w:val="xl53"/>
    <w:basedOn w:val="Normal"/>
    <w:pPr>
      <w:pBdr>
        <w:top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54">
    <w:name w:val="xl54"/>
    <w:basedOn w:val="Normal"/>
    <w:pPr>
      <w:pBdr>
        <w:top w:val="single" w:sz="8" w:space="0" w:color="auto"/>
      </w:pBdr>
      <w:shd w:val="clear" w:color="auto" w:fill="CCFFFF"/>
      <w:spacing w:before="100" w:beforeAutospacing="1" w:after="100" w:afterAutospacing="1"/>
      <w:ind w:left="0"/>
      <w:jc w:val="center"/>
    </w:pPr>
    <w:rPr>
      <w:rFonts w:ascii="Arial" w:eastAsia="Arial Unicode MS" w:hAnsi="Arial" w:cs="Arial"/>
      <w:sz w:val="16"/>
      <w:szCs w:val="16"/>
    </w:rPr>
  </w:style>
  <w:style w:type="paragraph" w:customStyle="1" w:styleId="xl55">
    <w:name w:val="xl55"/>
    <w:basedOn w:val="Normal"/>
    <w:pPr>
      <w:pBdr>
        <w:bottom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Figura">
    <w:name w:val="Figura"/>
    <w:basedOn w:val="Normal"/>
    <w:next w:val="Normal"/>
    <w:autoRedefine/>
    <w:pPr>
      <w:numPr>
        <w:numId w:val="22"/>
      </w:numPr>
      <w:spacing w:after="120"/>
      <w:jc w:val="center"/>
    </w:pPr>
    <w:rPr>
      <w:rFonts w:ascii="Arial" w:hAnsi="Arial"/>
      <w:lang w:val="es-ES_tradnl"/>
    </w:rPr>
  </w:style>
  <w:style w:type="paragraph" w:customStyle="1" w:styleId="EstiloTtulo1">
    <w:name w:val="Estilo Título 1"/>
    <w:basedOn w:val="Ttulo1"/>
    <w:pPr>
      <w:spacing w:before="60" w:after="60"/>
      <w:ind w:left="432"/>
    </w:pPr>
    <w:rPr>
      <w:bCs/>
      <w:lang w:val="es-ES"/>
    </w:rPr>
  </w:style>
  <w:style w:type="paragraph" w:customStyle="1" w:styleId="EstiloTitulo2">
    <w:name w:val="Estilo Titulo 2"/>
    <w:basedOn w:val="Ttulo2"/>
    <w:autoRedefine/>
    <w:rsid w:val="006B5381"/>
    <w:pPr>
      <w:keepNext/>
      <w:tabs>
        <w:tab w:val="clear" w:pos="84"/>
        <w:tab w:val="clear" w:pos="873"/>
        <w:tab w:val="num" w:pos="-62"/>
      </w:tabs>
      <w:spacing w:before="60" w:after="60"/>
      <w:ind w:left="431" w:hanging="431"/>
    </w:pPr>
  </w:style>
  <w:style w:type="paragraph" w:customStyle="1" w:styleId="EstiloTtulo3">
    <w:name w:val="Estilo Título 3"/>
    <w:basedOn w:val="Ttulo3"/>
    <w:autoRedefine/>
    <w:rsid w:val="00AF32C8"/>
    <w:pPr>
      <w:keepNext/>
      <w:numPr>
        <w:ilvl w:val="0"/>
        <w:numId w:val="0"/>
      </w:numPr>
      <w:spacing w:before="240"/>
    </w:pPr>
    <w:rPr>
      <w:rFonts w:ascii="Arial" w:hAnsi="Arial" w:cs="Arial"/>
      <w:lang w:val="es-ES"/>
    </w:rPr>
  </w:style>
  <w:style w:type="paragraph" w:customStyle="1" w:styleId="CMTtextobase">
    <w:name w:val="CMT_texto_base"/>
    <w:basedOn w:val="Normal"/>
    <w:link w:val="CMTtextobaseCarCar"/>
    <w:rsid w:val="00DE1872"/>
    <w:pPr>
      <w:spacing w:after="140" w:line="280" w:lineRule="exact"/>
      <w:ind w:left="0"/>
    </w:pPr>
    <w:rPr>
      <w:rFonts w:ascii="Arial" w:hAnsi="Arial"/>
      <w:lang w:eastAsia="ca-ES"/>
    </w:rPr>
  </w:style>
  <w:style w:type="character" w:customStyle="1" w:styleId="CMTtextobaseCarCar">
    <w:name w:val="CMT_texto_base Car Car"/>
    <w:link w:val="CMTtextobase"/>
    <w:rsid w:val="00DE1872"/>
    <w:rPr>
      <w:rFonts w:ascii="Arial" w:hAnsi="Arial"/>
      <w:sz w:val="22"/>
      <w:lang w:val="es-ES" w:eastAsia="ca-ES" w:bidi="ar-SA"/>
    </w:rPr>
  </w:style>
  <w:style w:type="table" w:styleId="Tablaconcuadrcula">
    <w:name w:val="Table Grid"/>
    <w:basedOn w:val="Tablanormal"/>
    <w:rsid w:val="00007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Tnotapie">
    <w:name w:val="CMT nota pie"/>
    <w:basedOn w:val="Textonotapie"/>
    <w:link w:val="CMTnotapieCar"/>
    <w:rsid w:val="00BD1B9E"/>
    <w:pPr>
      <w:spacing w:after="120"/>
      <w:ind w:left="0"/>
    </w:pPr>
    <w:rPr>
      <w:rFonts w:ascii="Arial" w:hAnsi="Arial"/>
      <w:sz w:val="16"/>
      <w:szCs w:val="18"/>
    </w:rPr>
  </w:style>
  <w:style w:type="character" w:customStyle="1" w:styleId="CMTnotapieCar">
    <w:name w:val="CMT nota pie Car"/>
    <w:link w:val="CMTnotapie"/>
    <w:rsid w:val="00BD1B9E"/>
    <w:rPr>
      <w:rFonts w:ascii="Arial" w:hAnsi="Arial"/>
      <w:sz w:val="16"/>
      <w:szCs w:val="18"/>
      <w:lang w:val="es-ES" w:eastAsia="es-ES" w:bidi="ar-SA"/>
    </w:rPr>
  </w:style>
  <w:style w:type="paragraph" w:customStyle="1" w:styleId="FirmaElectrnica">
    <w:name w:val="Firma_Electrónica"/>
    <w:basedOn w:val="Textobaseresolucion"/>
    <w:rsid w:val="00F36730"/>
    <w:pPr>
      <w:spacing w:before="600"/>
    </w:pPr>
    <w:rPr>
      <w:b/>
      <w:i/>
      <w:sz w:val="24"/>
      <w:szCs w:val="24"/>
    </w:rPr>
  </w:style>
  <w:style w:type="character" w:customStyle="1" w:styleId="TextobaseresolucionCar">
    <w:name w:val="Texto_base_resolucion Car"/>
    <w:link w:val="Textobaseresolucion"/>
    <w:rsid w:val="00F36730"/>
    <w:rPr>
      <w:rFonts w:ascii="Arial" w:hAnsi="Arial" w:cs="Arial"/>
      <w:sz w:val="22"/>
      <w:szCs w:val="22"/>
      <w:lang w:val="es-ES_tradnl" w:eastAsia="es-ES" w:bidi="ar-SA"/>
    </w:rPr>
  </w:style>
  <w:style w:type="paragraph" w:customStyle="1" w:styleId="Textobaseresolucion">
    <w:name w:val="Texto_base_resolucion"/>
    <w:basedOn w:val="Normal"/>
    <w:link w:val="TextobaseresolucionCar"/>
    <w:autoRedefine/>
    <w:rsid w:val="00F36730"/>
    <w:pPr>
      <w:autoSpaceDE w:val="0"/>
      <w:autoSpaceDN w:val="0"/>
      <w:adjustRightInd w:val="0"/>
      <w:spacing w:after="140"/>
      <w:ind w:left="0"/>
    </w:pPr>
    <w:rPr>
      <w:rFonts w:ascii="Arial" w:hAnsi="Arial" w:cs="Arial"/>
      <w:szCs w:val="22"/>
      <w:lang w:val="es-ES_tradnl"/>
    </w:rPr>
  </w:style>
  <w:style w:type="character" w:customStyle="1" w:styleId="FontStyle15">
    <w:name w:val="Font Style15"/>
    <w:uiPriority w:val="99"/>
    <w:rsid w:val="004E4B77"/>
    <w:rPr>
      <w:rFonts w:ascii="Arial Unicode MS" w:eastAsia="Arial Unicode MS" w:cs="Arial Unicode MS"/>
      <w:sz w:val="18"/>
      <w:szCs w:val="18"/>
    </w:rPr>
  </w:style>
  <w:style w:type="paragraph" w:styleId="Revisin">
    <w:name w:val="Revision"/>
    <w:hidden/>
    <w:uiPriority w:val="99"/>
    <w:semiHidden/>
    <w:rsid w:val="002F7496"/>
    <w:rPr>
      <w:rFonts w:ascii="Garamond" w:hAnsi="Garamond"/>
      <w:sz w:val="22"/>
    </w:rPr>
  </w:style>
  <w:style w:type="character" w:customStyle="1" w:styleId="TextonotapieCar">
    <w:name w:val="Texto nota pie Car"/>
    <w:aliases w:val="Nota al pie Car,Texto nota pie Car2 Car,Texto nota pie Car1 Car Car,Texto nota pie Car Car Car Car,Texto nota pie Car Car1 Car,Texto nota pie Car2 Car Car1 Car,Texto nota pie Car1 Car Car Car1 Car,Texto nota pie Car Car1 Car Car Car"/>
    <w:link w:val="Textonotapie"/>
    <w:rsid w:val="002D7540"/>
    <w:rPr>
      <w:rFonts w:ascii="Garamond" w:hAnsi="Garamond"/>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emf"/><Relationship Id="rId25" Type="http://schemas.openxmlformats.org/officeDocument/2006/relationships/image" Target="media/image16.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Microsoft_Word_97_-_2003_Document1.doc"/><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4.wmf"/><Relationship Id="rId28" Type="http://schemas.openxmlformats.org/officeDocument/2006/relationships/image" Target="media/image19.png"/><Relationship Id="rId10" Type="http://schemas.openxmlformats.org/officeDocument/2006/relationships/image" Target="media/image2.jpeg"/><Relationship Id="rId19" Type="http://schemas.openxmlformats.org/officeDocument/2006/relationships/image" Target="media/image11.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telefonica.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86785-398F-4334-95B7-93115EEE4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telefonica</Template>
  <TotalTime>1</TotalTime>
  <Pages>9</Pages>
  <Words>19218</Words>
  <Characters>105699</Characters>
  <Application>Microsoft Office Word</Application>
  <DocSecurity>4</DocSecurity>
  <Lines>880</Lines>
  <Paragraphs>249</Paragraphs>
  <ScaleCrop>false</ScaleCrop>
  <HeadingPairs>
    <vt:vector size="2" baseType="variant">
      <vt:variant>
        <vt:lpstr>Título</vt:lpstr>
      </vt:variant>
      <vt:variant>
        <vt:i4>1</vt:i4>
      </vt:variant>
    </vt:vector>
  </HeadingPairs>
  <TitlesOfParts>
    <vt:vector size="1" baseType="lpstr">
      <vt:lpstr>TGA</vt:lpstr>
    </vt:vector>
  </TitlesOfParts>
  <Company>TdE</Company>
  <LinksUpToDate>false</LinksUpToDate>
  <CharactersWithSpaces>124668</CharactersWithSpaces>
  <SharedDoc>false</SharedDoc>
  <HLinks>
    <vt:vector size="480" baseType="variant">
      <vt:variant>
        <vt:i4>1441853</vt:i4>
      </vt:variant>
      <vt:variant>
        <vt:i4>476</vt:i4>
      </vt:variant>
      <vt:variant>
        <vt:i4>0</vt:i4>
      </vt:variant>
      <vt:variant>
        <vt:i4>5</vt:i4>
      </vt:variant>
      <vt:variant>
        <vt:lpwstr/>
      </vt:variant>
      <vt:variant>
        <vt:lpwstr>_Toc349662112</vt:lpwstr>
      </vt:variant>
      <vt:variant>
        <vt:i4>1441853</vt:i4>
      </vt:variant>
      <vt:variant>
        <vt:i4>470</vt:i4>
      </vt:variant>
      <vt:variant>
        <vt:i4>0</vt:i4>
      </vt:variant>
      <vt:variant>
        <vt:i4>5</vt:i4>
      </vt:variant>
      <vt:variant>
        <vt:lpwstr/>
      </vt:variant>
      <vt:variant>
        <vt:lpwstr>_Toc349662111</vt:lpwstr>
      </vt:variant>
      <vt:variant>
        <vt:i4>1441853</vt:i4>
      </vt:variant>
      <vt:variant>
        <vt:i4>464</vt:i4>
      </vt:variant>
      <vt:variant>
        <vt:i4>0</vt:i4>
      </vt:variant>
      <vt:variant>
        <vt:i4>5</vt:i4>
      </vt:variant>
      <vt:variant>
        <vt:lpwstr/>
      </vt:variant>
      <vt:variant>
        <vt:lpwstr>_Toc349662110</vt:lpwstr>
      </vt:variant>
      <vt:variant>
        <vt:i4>1507389</vt:i4>
      </vt:variant>
      <vt:variant>
        <vt:i4>458</vt:i4>
      </vt:variant>
      <vt:variant>
        <vt:i4>0</vt:i4>
      </vt:variant>
      <vt:variant>
        <vt:i4>5</vt:i4>
      </vt:variant>
      <vt:variant>
        <vt:lpwstr/>
      </vt:variant>
      <vt:variant>
        <vt:lpwstr>_Toc349662109</vt:lpwstr>
      </vt:variant>
      <vt:variant>
        <vt:i4>1507389</vt:i4>
      </vt:variant>
      <vt:variant>
        <vt:i4>452</vt:i4>
      </vt:variant>
      <vt:variant>
        <vt:i4>0</vt:i4>
      </vt:variant>
      <vt:variant>
        <vt:i4>5</vt:i4>
      </vt:variant>
      <vt:variant>
        <vt:lpwstr/>
      </vt:variant>
      <vt:variant>
        <vt:lpwstr>_Toc349662108</vt:lpwstr>
      </vt:variant>
      <vt:variant>
        <vt:i4>1507389</vt:i4>
      </vt:variant>
      <vt:variant>
        <vt:i4>446</vt:i4>
      </vt:variant>
      <vt:variant>
        <vt:i4>0</vt:i4>
      </vt:variant>
      <vt:variant>
        <vt:i4>5</vt:i4>
      </vt:variant>
      <vt:variant>
        <vt:lpwstr/>
      </vt:variant>
      <vt:variant>
        <vt:lpwstr>_Toc349662107</vt:lpwstr>
      </vt:variant>
      <vt:variant>
        <vt:i4>1507389</vt:i4>
      </vt:variant>
      <vt:variant>
        <vt:i4>440</vt:i4>
      </vt:variant>
      <vt:variant>
        <vt:i4>0</vt:i4>
      </vt:variant>
      <vt:variant>
        <vt:i4>5</vt:i4>
      </vt:variant>
      <vt:variant>
        <vt:lpwstr/>
      </vt:variant>
      <vt:variant>
        <vt:lpwstr>_Toc349662106</vt:lpwstr>
      </vt:variant>
      <vt:variant>
        <vt:i4>1507389</vt:i4>
      </vt:variant>
      <vt:variant>
        <vt:i4>434</vt:i4>
      </vt:variant>
      <vt:variant>
        <vt:i4>0</vt:i4>
      </vt:variant>
      <vt:variant>
        <vt:i4>5</vt:i4>
      </vt:variant>
      <vt:variant>
        <vt:lpwstr/>
      </vt:variant>
      <vt:variant>
        <vt:lpwstr>_Toc349662105</vt:lpwstr>
      </vt:variant>
      <vt:variant>
        <vt:i4>1507389</vt:i4>
      </vt:variant>
      <vt:variant>
        <vt:i4>428</vt:i4>
      </vt:variant>
      <vt:variant>
        <vt:i4>0</vt:i4>
      </vt:variant>
      <vt:variant>
        <vt:i4>5</vt:i4>
      </vt:variant>
      <vt:variant>
        <vt:lpwstr/>
      </vt:variant>
      <vt:variant>
        <vt:lpwstr>_Toc349662104</vt:lpwstr>
      </vt:variant>
      <vt:variant>
        <vt:i4>1507389</vt:i4>
      </vt:variant>
      <vt:variant>
        <vt:i4>422</vt:i4>
      </vt:variant>
      <vt:variant>
        <vt:i4>0</vt:i4>
      </vt:variant>
      <vt:variant>
        <vt:i4>5</vt:i4>
      </vt:variant>
      <vt:variant>
        <vt:lpwstr/>
      </vt:variant>
      <vt:variant>
        <vt:lpwstr>_Toc349662103</vt:lpwstr>
      </vt:variant>
      <vt:variant>
        <vt:i4>1507389</vt:i4>
      </vt:variant>
      <vt:variant>
        <vt:i4>416</vt:i4>
      </vt:variant>
      <vt:variant>
        <vt:i4>0</vt:i4>
      </vt:variant>
      <vt:variant>
        <vt:i4>5</vt:i4>
      </vt:variant>
      <vt:variant>
        <vt:lpwstr/>
      </vt:variant>
      <vt:variant>
        <vt:lpwstr>_Toc349662102</vt:lpwstr>
      </vt:variant>
      <vt:variant>
        <vt:i4>1507389</vt:i4>
      </vt:variant>
      <vt:variant>
        <vt:i4>410</vt:i4>
      </vt:variant>
      <vt:variant>
        <vt:i4>0</vt:i4>
      </vt:variant>
      <vt:variant>
        <vt:i4>5</vt:i4>
      </vt:variant>
      <vt:variant>
        <vt:lpwstr/>
      </vt:variant>
      <vt:variant>
        <vt:lpwstr>_Toc349662101</vt:lpwstr>
      </vt:variant>
      <vt:variant>
        <vt:i4>1507389</vt:i4>
      </vt:variant>
      <vt:variant>
        <vt:i4>404</vt:i4>
      </vt:variant>
      <vt:variant>
        <vt:i4>0</vt:i4>
      </vt:variant>
      <vt:variant>
        <vt:i4>5</vt:i4>
      </vt:variant>
      <vt:variant>
        <vt:lpwstr/>
      </vt:variant>
      <vt:variant>
        <vt:lpwstr>_Toc349662100</vt:lpwstr>
      </vt:variant>
      <vt:variant>
        <vt:i4>1966140</vt:i4>
      </vt:variant>
      <vt:variant>
        <vt:i4>398</vt:i4>
      </vt:variant>
      <vt:variant>
        <vt:i4>0</vt:i4>
      </vt:variant>
      <vt:variant>
        <vt:i4>5</vt:i4>
      </vt:variant>
      <vt:variant>
        <vt:lpwstr/>
      </vt:variant>
      <vt:variant>
        <vt:lpwstr>_Toc349662099</vt:lpwstr>
      </vt:variant>
      <vt:variant>
        <vt:i4>1966140</vt:i4>
      </vt:variant>
      <vt:variant>
        <vt:i4>392</vt:i4>
      </vt:variant>
      <vt:variant>
        <vt:i4>0</vt:i4>
      </vt:variant>
      <vt:variant>
        <vt:i4>5</vt:i4>
      </vt:variant>
      <vt:variant>
        <vt:lpwstr/>
      </vt:variant>
      <vt:variant>
        <vt:lpwstr>_Toc349662098</vt:lpwstr>
      </vt:variant>
      <vt:variant>
        <vt:i4>1966140</vt:i4>
      </vt:variant>
      <vt:variant>
        <vt:i4>386</vt:i4>
      </vt:variant>
      <vt:variant>
        <vt:i4>0</vt:i4>
      </vt:variant>
      <vt:variant>
        <vt:i4>5</vt:i4>
      </vt:variant>
      <vt:variant>
        <vt:lpwstr/>
      </vt:variant>
      <vt:variant>
        <vt:lpwstr>_Toc349662097</vt:lpwstr>
      </vt:variant>
      <vt:variant>
        <vt:i4>1966140</vt:i4>
      </vt:variant>
      <vt:variant>
        <vt:i4>380</vt:i4>
      </vt:variant>
      <vt:variant>
        <vt:i4>0</vt:i4>
      </vt:variant>
      <vt:variant>
        <vt:i4>5</vt:i4>
      </vt:variant>
      <vt:variant>
        <vt:lpwstr/>
      </vt:variant>
      <vt:variant>
        <vt:lpwstr>_Toc349662096</vt:lpwstr>
      </vt:variant>
      <vt:variant>
        <vt:i4>1966140</vt:i4>
      </vt:variant>
      <vt:variant>
        <vt:i4>374</vt:i4>
      </vt:variant>
      <vt:variant>
        <vt:i4>0</vt:i4>
      </vt:variant>
      <vt:variant>
        <vt:i4>5</vt:i4>
      </vt:variant>
      <vt:variant>
        <vt:lpwstr/>
      </vt:variant>
      <vt:variant>
        <vt:lpwstr>_Toc349662095</vt:lpwstr>
      </vt:variant>
      <vt:variant>
        <vt:i4>1966140</vt:i4>
      </vt:variant>
      <vt:variant>
        <vt:i4>368</vt:i4>
      </vt:variant>
      <vt:variant>
        <vt:i4>0</vt:i4>
      </vt:variant>
      <vt:variant>
        <vt:i4>5</vt:i4>
      </vt:variant>
      <vt:variant>
        <vt:lpwstr/>
      </vt:variant>
      <vt:variant>
        <vt:lpwstr>_Toc349662094</vt:lpwstr>
      </vt:variant>
      <vt:variant>
        <vt:i4>1966140</vt:i4>
      </vt:variant>
      <vt:variant>
        <vt:i4>362</vt:i4>
      </vt:variant>
      <vt:variant>
        <vt:i4>0</vt:i4>
      </vt:variant>
      <vt:variant>
        <vt:i4>5</vt:i4>
      </vt:variant>
      <vt:variant>
        <vt:lpwstr/>
      </vt:variant>
      <vt:variant>
        <vt:lpwstr>_Toc349662093</vt:lpwstr>
      </vt:variant>
      <vt:variant>
        <vt:i4>1966140</vt:i4>
      </vt:variant>
      <vt:variant>
        <vt:i4>356</vt:i4>
      </vt:variant>
      <vt:variant>
        <vt:i4>0</vt:i4>
      </vt:variant>
      <vt:variant>
        <vt:i4>5</vt:i4>
      </vt:variant>
      <vt:variant>
        <vt:lpwstr/>
      </vt:variant>
      <vt:variant>
        <vt:lpwstr>_Toc349662092</vt:lpwstr>
      </vt:variant>
      <vt:variant>
        <vt:i4>1966140</vt:i4>
      </vt:variant>
      <vt:variant>
        <vt:i4>350</vt:i4>
      </vt:variant>
      <vt:variant>
        <vt:i4>0</vt:i4>
      </vt:variant>
      <vt:variant>
        <vt:i4>5</vt:i4>
      </vt:variant>
      <vt:variant>
        <vt:lpwstr/>
      </vt:variant>
      <vt:variant>
        <vt:lpwstr>_Toc349662091</vt:lpwstr>
      </vt:variant>
      <vt:variant>
        <vt:i4>1966140</vt:i4>
      </vt:variant>
      <vt:variant>
        <vt:i4>344</vt:i4>
      </vt:variant>
      <vt:variant>
        <vt:i4>0</vt:i4>
      </vt:variant>
      <vt:variant>
        <vt:i4>5</vt:i4>
      </vt:variant>
      <vt:variant>
        <vt:lpwstr/>
      </vt:variant>
      <vt:variant>
        <vt:lpwstr>_Toc349662090</vt:lpwstr>
      </vt:variant>
      <vt:variant>
        <vt:i4>2031676</vt:i4>
      </vt:variant>
      <vt:variant>
        <vt:i4>338</vt:i4>
      </vt:variant>
      <vt:variant>
        <vt:i4>0</vt:i4>
      </vt:variant>
      <vt:variant>
        <vt:i4>5</vt:i4>
      </vt:variant>
      <vt:variant>
        <vt:lpwstr/>
      </vt:variant>
      <vt:variant>
        <vt:lpwstr>_Toc349662089</vt:lpwstr>
      </vt:variant>
      <vt:variant>
        <vt:i4>2031676</vt:i4>
      </vt:variant>
      <vt:variant>
        <vt:i4>332</vt:i4>
      </vt:variant>
      <vt:variant>
        <vt:i4>0</vt:i4>
      </vt:variant>
      <vt:variant>
        <vt:i4>5</vt:i4>
      </vt:variant>
      <vt:variant>
        <vt:lpwstr/>
      </vt:variant>
      <vt:variant>
        <vt:lpwstr>_Toc349662088</vt:lpwstr>
      </vt:variant>
      <vt:variant>
        <vt:i4>2031676</vt:i4>
      </vt:variant>
      <vt:variant>
        <vt:i4>326</vt:i4>
      </vt:variant>
      <vt:variant>
        <vt:i4>0</vt:i4>
      </vt:variant>
      <vt:variant>
        <vt:i4>5</vt:i4>
      </vt:variant>
      <vt:variant>
        <vt:lpwstr/>
      </vt:variant>
      <vt:variant>
        <vt:lpwstr>_Toc349662087</vt:lpwstr>
      </vt:variant>
      <vt:variant>
        <vt:i4>2031676</vt:i4>
      </vt:variant>
      <vt:variant>
        <vt:i4>320</vt:i4>
      </vt:variant>
      <vt:variant>
        <vt:i4>0</vt:i4>
      </vt:variant>
      <vt:variant>
        <vt:i4>5</vt:i4>
      </vt:variant>
      <vt:variant>
        <vt:lpwstr/>
      </vt:variant>
      <vt:variant>
        <vt:lpwstr>_Toc349662086</vt:lpwstr>
      </vt:variant>
      <vt:variant>
        <vt:i4>2031676</vt:i4>
      </vt:variant>
      <vt:variant>
        <vt:i4>314</vt:i4>
      </vt:variant>
      <vt:variant>
        <vt:i4>0</vt:i4>
      </vt:variant>
      <vt:variant>
        <vt:i4>5</vt:i4>
      </vt:variant>
      <vt:variant>
        <vt:lpwstr/>
      </vt:variant>
      <vt:variant>
        <vt:lpwstr>_Toc349662085</vt:lpwstr>
      </vt:variant>
      <vt:variant>
        <vt:i4>2031676</vt:i4>
      </vt:variant>
      <vt:variant>
        <vt:i4>308</vt:i4>
      </vt:variant>
      <vt:variant>
        <vt:i4>0</vt:i4>
      </vt:variant>
      <vt:variant>
        <vt:i4>5</vt:i4>
      </vt:variant>
      <vt:variant>
        <vt:lpwstr/>
      </vt:variant>
      <vt:variant>
        <vt:lpwstr>_Toc349662084</vt:lpwstr>
      </vt:variant>
      <vt:variant>
        <vt:i4>2031676</vt:i4>
      </vt:variant>
      <vt:variant>
        <vt:i4>302</vt:i4>
      </vt:variant>
      <vt:variant>
        <vt:i4>0</vt:i4>
      </vt:variant>
      <vt:variant>
        <vt:i4>5</vt:i4>
      </vt:variant>
      <vt:variant>
        <vt:lpwstr/>
      </vt:variant>
      <vt:variant>
        <vt:lpwstr>_Toc349662083</vt:lpwstr>
      </vt:variant>
      <vt:variant>
        <vt:i4>2031676</vt:i4>
      </vt:variant>
      <vt:variant>
        <vt:i4>296</vt:i4>
      </vt:variant>
      <vt:variant>
        <vt:i4>0</vt:i4>
      </vt:variant>
      <vt:variant>
        <vt:i4>5</vt:i4>
      </vt:variant>
      <vt:variant>
        <vt:lpwstr/>
      </vt:variant>
      <vt:variant>
        <vt:lpwstr>_Toc349662082</vt:lpwstr>
      </vt:variant>
      <vt:variant>
        <vt:i4>2031676</vt:i4>
      </vt:variant>
      <vt:variant>
        <vt:i4>290</vt:i4>
      </vt:variant>
      <vt:variant>
        <vt:i4>0</vt:i4>
      </vt:variant>
      <vt:variant>
        <vt:i4>5</vt:i4>
      </vt:variant>
      <vt:variant>
        <vt:lpwstr/>
      </vt:variant>
      <vt:variant>
        <vt:lpwstr>_Toc349662081</vt:lpwstr>
      </vt:variant>
      <vt:variant>
        <vt:i4>2031676</vt:i4>
      </vt:variant>
      <vt:variant>
        <vt:i4>284</vt:i4>
      </vt:variant>
      <vt:variant>
        <vt:i4>0</vt:i4>
      </vt:variant>
      <vt:variant>
        <vt:i4>5</vt:i4>
      </vt:variant>
      <vt:variant>
        <vt:lpwstr/>
      </vt:variant>
      <vt:variant>
        <vt:lpwstr>_Toc349662080</vt:lpwstr>
      </vt:variant>
      <vt:variant>
        <vt:i4>1048636</vt:i4>
      </vt:variant>
      <vt:variant>
        <vt:i4>278</vt:i4>
      </vt:variant>
      <vt:variant>
        <vt:i4>0</vt:i4>
      </vt:variant>
      <vt:variant>
        <vt:i4>5</vt:i4>
      </vt:variant>
      <vt:variant>
        <vt:lpwstr/>
      </vt:variant>
      <vt:variant>
        <vt:lpwstr>_Toc349662079</vt:lpwstr>
      </vt:variant>
      <vt:variant>
        <vt:i4>1048636</vt:i4>
      </vt:variant>
      <vt:variant>
        <vt:i4>272</vt:i4>
      </vt:variant>
      <vt:variant>
        <vt:i4>0</vt:i4>
      </vt:variant>
      <vt:variant>
        <vt:i4>5</vt:i4>
      </vt:variant>
      <vt:variant>
        <vt:lpwstr/>
      </vt:variant>
      <vt:variant>
        <vt:lpwstr>_Toc349662078</vt:lpwstr>
      </vt:variant>
      <vt:variant>
        <vt:i4>1048636</vt:i4>
      </vt:variant>
      <vt:variant>
        <vt:i4>266</vt:i4>
      </vt:variant>
      <vt:variant>
        <vt:i4>0</vt:i4>
      </vt:variant>
      <vt:variant>
        <vt:i4>5</vt:i4>
      </vt:variant>
      <vt:variant>
        <vt:lpwstr/>
      </vt:variant>
      <vt:variant>
        <vt:lpwstr>_Toc349662077</vt:lpwstr>
      </vt:variant>
      <vt:variant>
        <vt:i4>1048636</vt:i4>
      </vt:variant>
      <vt:variant>
        <vt:i4>260</vt:i4>
      </vt:variant>
      <vt:variant>
        <vt:i4>0</vt:i4>
      </vt:variant>
      <vt:variant>
        <vt:i4>5</vt:i4>
      </vt:variant>
      <vt:variant>
        <vt:lpwstr/>
      </vt:variant>
      <vt:variant>
        <vt:lpwstr>_Toc349662076</vt:lpwstr>
      </vt:variant>
      <vt:variant>
        <vt:i4>1048636</vt:i4>
      </vt:variant>
      <vt:variant>
        <vt:i4>254</vt:i4>
      </vt:variant>
      <vt:variant>
        <vt:i4>0</vt:i4>
      </vt:variant>
      <vt:variant>
        <vt:i4>5</vt:i4>
      </vt:variant>
      <vt:variant>
        <vt:lpwstr/>
      </vt:variant>
      <vt:variant>
        <vt:lpwstr>_Toc349662075</vt:lpwstr>
      </vt:variant>
      <vt:variant>
        <vt:i4>1048636</vt:i4>
      </vt:variant>
      <vt:variant>
        <vt:i4>248</vt:i4>
      </vt:variant>
      <vt:variant>
        <vt:i4>0</vt:i4>
      </vt:variant>
      <vt:variant>
        <vt:i4>5</vt:i4>
      </vt:variant>
      <vt:variant>
        <vt:lpwstr/>
      </vt:variant>
      <vt:variant>
        <vt:lpwstr>_Toc349662074</vt:lpwstr>
      </vt:variant>
      <vt:variant>
        <vt:i4>1048636</vt:i4>
      </vt:variant>
      <vt:variant>
        <vt:i4>242</vt:i4>
      </vt:variant>
      <vt:variant>
        <vt:i4>0</vt:i4>
      </vt:variant>
      <vt:variant>
        <vt:i4>5</vt:i4>
      </vt:variant>
      <vt:variant>
        <vt:lpwstr/>
      </vt:variant>
      <vt:variant>
        <vt:lpwstr>_Toc349662073</vt:lpwstr>
      </vt:variant>
      <vt:variant>
        <vt:i4>1048636</vt:i4>
      </vt:variant>
      <vt:variant>
        <vt:i4>236</vt:i4>
      </vt:variant>
      <vt:variant>
        <vt:i4>0</vt:i4>
      </vt:variant>
      <vt:variant>
        <vt:i4>5</vt:i4>
      </vt:variant>
      <vt:variant>
        <vt:lpwstr/>
      </vt:variant>
      <vt:variant>
        <vt:lpwstr>_Toc349662072</vt:lpwstr>
      </vt:variant>
      <vt:variant>
        <vt:i4>1048636</vt:i4>
      </vt:variant>
      <vt:variant>
        <vt:i4>230</vt:i4>
      </vt:variant>
      <vt:variant>
        <vt:i4>0</vt:i4>
      </vt:variant>
      <vt:variant>
        <vt:i4>5</vt:i4>
      </vt:variant>
      <vt:variant>
        <vt:lpwstr/>
      </vt:variant>
      <vt:variant>
        <vt:lpwstr>_Toc349662071</vt:lpwstr>
      </vt:variant>
      <vt:variant>
        <vt:i4>1048636</vt:i4>
      </vt:variant>
      <vt:variant>
        <vt:i4>224</vt:i4>
      </vt:variant>
      <vt:variant>
        <vt:i4>0</vt:i4>
      </vt:variant>
      <vt:variant>
        <vt:i4>5</vt:i4>
      </vt:variant>
      <vt:variant>
        <vt:lpwstr/>
      </vt:variant>
      <vt:variant>
        <vt:lpwstr>_Toc349662070</vt:lpwstr>
      </vt:variant>
      <vt:variant>
        <vt:i4>1114172</vt:i4>
      </vt:variant>
      <vt:variant>
        <vt:i4>218</vt:i4>
      </vt:variant>
      <vt:variant>
        <vt:i4>0</vt:i4>
      </vt:variant>
      <vt:variant>
        <vt:i4>5</vt:i4>
      </vt:variant>
      <vt:variant>
        <vt:lpwstr/>
      </vt:variant>
      <vt:variant>
        <vt:lpwstr>_Toc349662069</vt:lpwstr>
      </vt:variant>
      <vt:variant>
        <vt:i4>1114172</vt:i4>
      </vt:variant>
      <vt:variant>
        <vt:i4>212</vt:i4>
      </vt:variant>
      <vt:variant>
        <vt:i4>0</vt:i4>
      </vt:variant>
      <vt:variant>
        <vt:i4>5</vt:i4>
      </vt:variant>
      <vt:variant>
        <vt:lpwstr/>
      </vt:variant>
      <vt:variant>
        <vt:lpwstr>_Toc349662068</vt:lpwstr>
      </vt:variant>
      <vt:variant>
        <vt:i4>1114172</vt:i4>
      </vt:variant>
      <vt:variant>
        <vt:i4>206</vt:i4>
      </vt:variant>
      <vt:variant>
        <vt:i4>0</vt:i4>
      </vt:variant>
      <vt:variant>
        <vt:i4>5</vt:i4>
      </vt:variant>
      <vt:variant>
        <vt:lpwstr/>
      </vt:variant>
      <vt:variant>
        <vt:lpwstr>_Toc349662067</vt:lpwstr>
      </vt:variant>
      <vt:variant>
        <vt:i4>1114172</vt:i4>
      </vt:variant>
      <vt:variant>
        <vt:i4>200</vt:i4>
      </vt:variant>
      <vt:variant>
        <vt:i4>0</vt:i4>
      </vt:variant>
      <vt:variant>
        <vt:i4>5</vt:i4>
      </vt:variant>
      <vt:variant>
        <vt:lpwstr/>
      </vt:variant>
      <vt:variant>
        <vt:lpwstr>_Toc349662066</vt:lpwstr>
      </vt:variant>
      <vt:variant>
        <vt:i4>1114172</vt:i4>
      </vt:variant>
      <vt:variant>
        <vt:i4>194</vt:i4>
      </vt:variant>
      <vt:variant>
        <vt:i4>0</vt:i4>
      </vt:variant>
      <vt:variant>
        <vt:i4>5</vt:i4>
      </vt:variant>
      <vt:variant>
        <vt:lpwstr/>
      </vt:variant>
      <vt:variant>
        <vt:lpwstr>_Toc349662065</vt:lpwstr>
      </vt:variant>
      <vt:variant>
        <vt:i4>1114172</vt:i4>
      </vt:variant>
      <vt:variant>
        <vt:i4>188</vt:i4>
      </vt:variant>
      <vt:variant>
        <vt:i4>0</vt:i4>
      </vt:variant>
      <vt:variant>
        <vt:i4>5</vt:i4>
      </vt:variant>
      <vt:variant>
        <vt:lpwstr/>
      </vt:variant>
      <vt:variant>
        <vt:lpwstr>_Toc349662064</vt:lpwstr>
      </vt:variant>
      <vt:variant>
        <vt:i4>1114172</vt:i4>
      </vt:variant>
      <vt:variant>
        <vt:i4>182</vt:i4>
      </vt:variant>
      <vt:variant>
        <vt:i4>0</vt:i4>
      </vt:variant>
      <vt:variant>
        <vt:i4>5</vt:i4>
      </vt:variant>
      <vt:variant>
        <vt:lpwstr/>
      </vt:variant>
      <vt:variant>
        <vt:lpwstr>_Toc349662063</vt:lpwstr>
      </vt:variant>
      <vt:variant>
        <vt:i4>1114172</vt:i4>
      </vt:variant>
      <vt:variant>
        <vt:i4>176</vt:i4>
      </vt:variant>
      <vt:variant>
        <vt:i4>0</vt:i4>
      </vt:variant>
      <vt:variant>
        <vt:i4>5</vt:i4>
      </vt:variant>
      <vt:variant>
        <vt:lpwstr/>
      </vt:variant>
      <vt:variant>
        <vt:lpwstr>_Toc349662062</vt:lpwstr>
      </vt:variant>
      <vt:variant>
        <vt:i4>1114172</vt:i4>
      </vt:variant>
      <vt:variant>
        <vt:i4>170</vt:i4>
      </vt:variant>
      <vt:variant>
        <vt:i4>0</vt:i4>
      </vt:variant>
      <vt:variant>
        <vt:i4>5</vt:i4>
      </vt:variant>
      <vt:variant>
        <vt:lpwstr/>
      </vt:variant>
      <vt:variant>
        <vt:lpwstr>_Toc349662061</vt:lpwstr>
      </vt:variant>
      <vt:variant>
        <vt:i4>1114172</vt:i4>
      </vt:variant>
      <vt:variant>
        <vt:i4>164</vt:i4>
      </vt:variant>
      <vt:variant>
        <vt:i4>0</vt:i4>
      </vt:variant>
      <vt:variant>
        <vt:i4>5</vt:i4>
      </vt:variant>
      <vt:variant>
        <vt:lpwstr/>
      </vt:variant>
      <vt:variant>
        <vt:lpwstr>_Toc349662060</vt:lpwstr>
      </vt:variant>
      <vt:variant>
        <vt:i4>1179708</vt:i4>
      </vt:variant>
      <vt:variant>
        <vt:i4>158</vt:i4>
      </vt:variant>
      <vt:variant>
        <vt:i4>0</vt:i4>
      </vt:variant>
      <vt:variant>
        <vt:i4>5</vt:i4>
      </vt:variant>
      <vt:variant>
        <vt:lpwstr/>
      </vt:variant>
      <vt:variant>
        <vt:lpwstr>_Toc349662059</vt:lpwstr>
      </vt:variant>
      <vt:variant>
        <vt:i4>1179708</vt:i4>
      </vt:variant>
      <vt:variant>
        <vt:i4>152</vt:i4>
      </vt:variant>
      <vt:variant>
        <vt:i4>0</vt:i4>
      </vt:variant>
      <vt:variant>
        <vt:i4>5</vt:i4>
      </vt:variant>
      <vt:variant>
        <vt:lpwstr/>
      </vt:variant>
      <vt:variant>
        <vt:lpwstr>_Toc349662058</vt:lpwstr>
      </vt:variant>
      <vt:variant>
        <vt:i4>1179708</vt:i4>
      </vt:variant>
      <vt:variant>
        <vt:i4>146</vt:i4>
      </vt:variant>
      <vt:variant>
        <vt:i4>0</vt:i4>
      </vt:variant>
      <vt:variant>
        <vt:i4>5</vt:i4>
      </vt:variant>
      <vt:variant>
        <vt:lpwstr/>
      </vt:variant>
      <vt:variant>
        <vt:lpwstr>_Toc349662057</vt:lpwstr>
      </vt:variant>
      <vt:variant>
        <vt:i4>1179708</vt:i4>
      </vt:variant>
      <vt:variant>
        <vt:i4>140</vt:i4>
      </vt:variant>
      <vt:variant>
        <vt:i4>0</vt:i4>
      </vt:variant>
      <vt:variant>
        <vt:i4>5</vt:i4>
      </vt:variant>
      <vt:variant>
        <vt:lpwstr/>
      </vt:variant>
      <vt:variant>
        <vt:lpwstr>_Toc349662056</vt:lpwstr>
      </vt:variant>
      <vt:variant>
        <vt:i4>1179708</vt:i4>
      </vt:variant>
      <vt:variant>
        <vt:i4>134</vt:i4>
      </vt:variant>
      <vt:variant>
        <vt:i4>0</vt:i4>
      </vt:variant>
      <vt:variant>
        <vt:i4>5</vt:i4>
      </vt:variant>
      <vt:variant>
        <vt:lpwstr/>
      </vt:variant>
      <vt:variant>
        <vt:lpwstr>_Toc349662055</vt:lpwstr>
      </vt:variant>
      <vt:variant>
        <vt:i4>1179708</vt:i4>
      </vt:variant>
      <vt:variant>
        <vt:i4>128</vt:i4>
      </vt:variant>
      <vt:variant>
        <vt:i4>0</vt:i4>
      </vt:variant>
      <vt:variant>
        <vt:i4>5</vt:i4>
      </vt:variant>
      <vt:variant>
        <vt:lpwstr/>
      </vt:variant>
      <vt:variant>
        <vt:lpwstr>_Toc349662054</vt:lpwstr>
      </vt:variant>
      <vt:variant>
        <vt:i4>1179708</vt:i4>
      </vt:variant>
      <vt:variant>
        <vt:i4>122</vt:i4>
      </vt:variant>
      <vt:variant>
        <vt:i4>0</vt:i4>
      </vt:variant>
      <vt:variant>
        <vt:i4>5</vt:i4>
      </vt:variant>
      <vt:variant>
        <vt:lpwstr/>
      </vt:variant>
      <vt:variant>
        <vt:lpwstr>_Toc349662053</vt:lpwstr>
      </vt:variant>
      <vt:variant>
        <vt:i4>1179708</vt:i4>
      </vt:variant>
      <vt:variant>
        <vt:i4>116</vt:i4>
      </vt:variant>
      <vt:variant>
        <vt:i4>0</vt:i4>
      </vt:variant>
      <vt:variant>
        <vt:i4>5</vt:i4>
      </vt:variant>
      <vt:variant>
        <vt:lpwstr/>
      </vt:variant>
      <vt:variant>
        <vt:lpwstr>_Toc349662052</vt:lpwstr>
      </vt:variant>
      <vt:variant>
        <vt:i4>1179708</vt:i4>
      </vt:variant>
      <vt:variant>
        <vt:i4>110</vt:i4>
      </vt:variant>
      <vt:variant>
        <vt:i4>0</vt:i4>
      </vt:variant>
      <vt:variant>
        <vt:i4>5</vt:i4>
      </vt:variant>
      <vt:variant>
        <vt:lpwstr/>
      </vt:variant>
      <vt:variant>
        <vt:lpwstr>_Toc349662051</vt:lpwstr>
      </vt:variant>
      <vt:variant>
        <vt:i4>1179708</vt:i4>
      </vt:variant>
      <vt:variant>
        <vt:i4>104</vt:i4>
      </vt:variant>
      <vt:variant>
        <vt:i4>0</vt:i4>
      </vt:variant>
      <vt:variant>
        <vt:i4>5</vt:i4>
      </vt:variant>
      <vt:variant>
        <vt:lpwstr/>
      </vt:variant>
      <vt:variant>
        <vt:lpwstr>_Toc349662050</vt:lpwstr>
      </vt:variant>
      <vt:variant>
        <vt:i4>1245244</vt:i4>
      </vt:variant>
      <vt:variant>
        <vt:i4>98</vt:i4>
      </vt:variant>
      <vt:variant>
        <vt:i4>0</vt:i4>
      </vt:variant>
      <vt:variant>
        <vt:i4>5</vt:i4>
      </vt:variant>
      <vt:variant>
        <vt:lpwstr/>
      </vt:variant>
      <vt:variant>
        <vt:lpwstr>_Toc349662049</vt:lpwstr>
      </vt:variant>
      <vt:variant>
        <vt:i4>1245244</vt:i4>
      </vt:variant>
      <vt:variant>
        <vt:i4>92</vt:i4>
      </vt:variant>
      <vt:variant>
        <vt:i4>0</vt:i4>
      </vt:variant>
      <vt:variant>
        <vt:i4>5</vt:i4>
      </vt:variant>
      <vt:variant>
        <vt:lpwstr/>
      </vt:variant>
      <vt:variant>
        <vt:lpwstr>_Toc349662048</vt:lpwstr>
      </vt:variant>
      <vt:variant>
        <vt:i4>1245244</vt:i4>
      </vt:variant>
      <vt:variant>
        <vt:i4>86</vt:i4>
      </vt:variant>
      <vt:variant>
        <vt:i4>0</vt:i4>
      </vt:variant>
      <vt:variant>
        <vt:i4>5</vt:i4>
      </vt:variant>
      <vt:variant>
        <vt:lpwstr/>
      </vt:variant>
      <vt:variant>
        <vt:lpwstr>_Toc349662047</vt:lpwstr>
      </vt:variant>
      <vt:variant>
        <vt:i4>1245244</vt:i4>
      </vt:variant>
      <vt:variant>
        <vt:i4>80</vt:i4>
      </vt:variant>
      <vt:variant>
        <vt:i4>0</vt:i4>
      </vt:variant>
      <vt:variant>
        <vt:i4>5</vt:i4>
      </vt:variant>
      <vt:variant>
        <vt:lpwstr/>
      </vt:variant>
      <vt:variant>
        <vt:lpwstr>_Toc349662046</vt:lpwstr>
      </vt:variant>
      <vt:variant>
        <vt:i4>1245244</vt:i4>
      </vt:variant>
      <vt:variant>
        <vt:i4>74</vt:i4>
      </vt:variant>
      <vt:variant>
        <vt:i4>0</vt:i4>
      </vt:variant>
      <vt:variant>
        <vt:i4>5</vt:i4>
      </vt:variant>
      <vt:variant>
        <vt:lpwstr/>
      </vt:variant>
      <vt:variant>
        <vt:lpwstr>_Toc349662045</vt:lpwstr>
      </vt:variant>
      <vt:variant>
        <vt:i4>1245244</vt:i4>
      </vt:variant>
      <vt:variant>
        <vt:i4>68</vt:i4>
      </vt:variant>
      <vt:variant>
        <vt:i4>0</vt:i4>
      </vt:variant>
      <vt:variant>
        <vt:i4>5</vt:i4>
      </vt:variant>
      <vt:variant>
        <vt:lpwstr/>
      </vt:variant>
      <vt:variant>
        <vt:lpwstr>_Toc349662044</vt:lpwstr>
      </vt:variant>
      <vt:variant>
        <vt:i4>1245244</vt:i4>
      </vt:variant>
      <vt:variant>
        <vt:i4>62</vt:i4>
      </vt:variant>
      <vt:variant>
        <vt:i4>0</vt:i4>
      </vt:variant>
      <vt:variant>
        <vt:i4>5</vt:i4>
      </vt:variant>
      <vt:variant>
        <vt:lpwstr/>
      </vt:variant>
      <vt:variant>
        <vt:lpwstr>_Toc349662043</vt:lpwstr>
      </vt:variant>
      <vt:variant>
        <vt:i4>1245244</vt:i4>
      </vt:variant>
      <vt:variant>
        <vt:i4>56</vt:i4>
      </vt:variant>
      <vt:variant>
        <vt:i4>0</vt:i4>
      </vt:variant>
      <vt:variant>
        <vt:i4>5</vt:i4>
      </vt:variant>
      <vt:variant>
        <vt:lpwstr/>
      </vt:variant>
      <vt:variant>
        <vt:lpwstr>_Toc349662042</vt:lpwstr>
      </vt:variant>
      <vt:variant>
        <vt:i4>1245244</vt:i4>
      </vt:variant>
      <vt:variant>
        <vt:i4>50</vt:i4>
      </vt:variant>
      <vt:variant>
        <vt:i4>0</vt:i4>
      </vt:variant>
      <vt:variant>
        <vt:i4>5</vt:i4>
      </vt:variant>
      <vt:variant>
        <vt:lpwstr/>
      </vt:variant>
      <vt:variant>
        <vt:lpwstr>_Toc349662041</vt:lpwstr>
      </vt:variant>
      <vt:variant>
        <vt:i4>1245244</vt:i4>
      </vt:variant>
      <vt:variant>
        <vt:i4>44</vt:i4>
      </vt:variant>
      <vt:variant>
        <vt:i4>0</vt:i4>
      </vt:variant>
      <vt:variant>
        <vt:i4>5</vt:i4>
      </vt:variant>
      <vt:variant>
        <vt:lpwstr/>
      </vt:variant>
      <vt:variant>
        <vt:lpwstr>_Toc349662040</vt:lpwstr>
      </vt:variant>
      <vt:variant>
        <vt:i4>1310780</vt:i4>
      </vt:variant>
      <vt:variant>
        <vt:i4>38</vt:i4>
      </vt:variant>
      <vt:variant>
        <vt:i4>0</vt:i4>
      </vt:variant>
      <vt:variant>
        <vt:i4>5</vt:i4>
      </vt:variant>
      <vt:variant>
        <vt:lpwstr/>
      </vt:variant>
      <vt:variant>
        <vt:lpwstr>_Toc349662039</vt:lpwstr>
      </vt:variant>
      <vt:variant>
        <vt:i4>1310780</vt:i4>
      </vt:variant>
      <vt:variant>
        <vt:i4>32</vt:i4>
      </vt:variant>
      <vt:variant>
        <vt:i4>0</vt:i4>
      </vt:variant>
      <vt:variant>
        <vt:i4>5</vt:i4>
      </vt:variant>
      <vt:variant>
        <vt:lpwstr/>
      </vt:variant>
      <vt:variant>
        <vt:lpwstr>_Toc349662038</vt:lpwstr>
      </vt:variant>
      <vt:variant>
        <vt:i4>1310780</vt:i4>
      </vt:variant>
      <vt:variant>
        <vt:i4>26</vt:i4>
      </vt:variant>
      <vt:variant>
        <vt:i4>0</vt:i4>
      </vt:variant>
      <vt:variant>
        <vt:i4>5</vt:i4>
      </vt:variant>
      <vt:variant>
        <vt:lpwstr/>
      </vt:variant>
      <vt:variant>
        <vt:lpwstr>_Toc349662037</vt:lpwstr>
      </vt:variant>
      <vt:variant>
        <vt:i4>1310780</vt:i4>
      </vt:variant>
      <vt:variant>
        <vt:i4>20</vt:i4>
      </vt:variant>
      <vt:variant>
        <vt:i4>0</vt:i4>
      </vt:variant>
      <vt:variant>
        <vt:i4>5</vt:i4>
      </vt:variant>
      <vt:variant>
        <vt:lpwstr/>
      </vt:variant>
      <vt:variant>
        <vt:lpwstr>_Toc349662036</vt:lpwstr>
      </vt:variant>
      <vt:variant>
        <vt:i4>1310780</vt:i4>
      </vt:variant>
      <vt:variant>
        <vt:i4>14</vt:i4>
      </vt:variant>
      <vt:variant>
        <vt:i4>0</vt:i4>
      </vt:variant>
      <vt:variant>
        <vt:i4>5</vt:i4>
      </vt:variant>
      <vt:variant>
        <vt:lpwstr/>
      </vt:variant>
      <vt:variant>
        <vt:lpwstr>_Toc349662035</vt:lpwstr>
      </vt:variant>
      <vt:variant>
        <vt:i4>1310780</vt:i4>
      </vt:variant>
      <vt:variant>
        <vt:i4>8</vt:i4>
      </vt:variant>
      <vt:variant>
        <vt:i4>0</vt:i4>
      </vt:variant>
      <vt:variant>
        <vt:i4>5</vt:i4>
      </vt:variant>
      <vt:variant>
        <vt:lpwstr/>
      </vt:variant>
      <vt:variant>
        <vt:lpwstr>_Toc349662034</vt:lpwstr>
      </vt:variant>
      <vt:variant>
        <vt:i4>1310780</vt:i4>
      </vt:variant>
      <vt:variant>
        <vt:i4>2</vt:i4>
      </vt:variant>
      <vt:variant>
        <vt:i4>0</vt:i4>
      </vt:variant>
      <vt:variant>
        <vt:i4>5</vt:i4>
      </vt:variant>
      <vt:variant>
        <vt:lpwstr/>
      </vt:variant>
      <vt:variant>
        <vt:lpwstr>_Toc349662033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TGA</dc:title>
  <dc:creator>Rodriguez Fernandez, Francisca</dc:creator>
  <dc:description>Aprobado en la Sesión 35/10 de 11 de noviembre.</dc:description>
  <cp:lastModifiedBy>frodriguez</cp:lastModifiedBy>
  <cp:revision>2</cp:revision>
  <cp:lastPrinted>2010-10-25T10:19:00Z</cp:lastPrinted>
  <dcterms:created xsi:type="dcterms:W3CDTF">2017-03-24T10:59:00Z</dcterms:created>
  <dcterms:modified xsi:type="dcterms:W3CDTF">2017-03-24T10:59:00Z</dcterms:modified>
</cp:coreProperties>
</file>